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C-6594/2012 vom 31. März 2016</w:t>
      </w:r>
    </w:p>
    <w:p>
      <w:r>
        <w:t>Bundesverwaltungsgericht, 2016-03-31, DE</w:t>
      </w:r>
    </w:p>
    <w:p>
      <w:r>
        <w:rPr>
          <w:b/>
        </w:rPr>
        <w:t xml:space="preserve">Quelle: </w:t>
      </w:r>
      <w:r>
        <w:t>https://mcp.opencaselaw.ch/entscheid/bvger_C-6594_2012</w:t>
      </w:r>
    </w:p>
    <w:p>
      <w:r>
        <w:t>FR: TAF C-6594/2012 du 31 mars 2016</w:t>
      </w:r>
    </w:p>
    <w:p>
      <w:r>
        <w:t>IT: TAF C-6594/2012 del 31 marzo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auch der einverlangte Verfahrenskostenvorschuss in der Höhe von Fr. 4'000.- rechtzeitig geleistet wurde, ist auf die frist- und formgerecht eingereichte Beschwerde einzutreten (vgl. Art. 50 Abs. 1, Art. 52 und Art. 63 Abs. 4 VwVG).</w:t>
      </w:r>
    </w:p>
    <w:p>
      <w:r>
        <w:rPr>
          <w:b/>
        </w:rPr>
        <w:t>E. 2</w:t>
      </w:r>
    </w:p>
    <w:p>
      <w:r>
        <w:t>Ausgangspunkt und Anfechtungsobjekt der vorliegenden Streitigkeit bildet die Verfügung des BAG vom 5. Dezember 2012 (BAG-act. 13 sowie Beilage 2 zu BVGer-act. 1). Darin wurde unter Anwendung von Art. 65d Abs. 1bis Bst. a KVV und damit unter alleiniger Anwendung des Auslandspreisvergleichs (APV) im Rahmen der Überprüfung der Aufnahmebedingungen des in der SL gelisteten Arzneimittels (...) Z._______ per 1. Januar 2013 eine Preissenkung von 46.04 % für dieses Arzneimittel verfügt (vgl. Sachverhalt Bst I.). Dieser Sachverhalt steht fest und ist unbestritten. Die Beschwerdeführerin beantragt zum einen die Aufhebung der Verfügung vom 5. Dezember 2012, da ein APV vorliegend nicht möglich sei, und zum anderen, dass die dreijährliche Überprüfung der SL-Aufnahmebedingungen beim Arzneimittel Z._______ lediglich anhand eines Therapeutischen Quervergleichs vorzunehmen sei. Die Beschwerde richtet sich demnach gegen diese Verfügung als Ganzes (vgl. Sachverhalt Bst I.). Streitgegenstand, der sich grundsätzlich durch den Gegenstand der angefochtenen Verfügung sowie die Parteibegehren bestimmt (BGE 133 II 35 E. 2), ist hier demnach die angeordnete Preisreduktion für das Arzneimittel Z._______, wobei insbesondere auch strittig und zu prüfen ist, ob die Vorinstanz zu Recht einen APV durchgeführt hat.</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 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 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29. Februar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134 V 315 E. 1.2; 130 V 329 E. 2.3). Massgebend sind vorliegend die im Zeitpunkt der Verfügung, also am 5. Dezember 2012 geltenden materiellen Bestimmungen. Dazu gehören einerseits namentlich das KVG in der nach Inkrafttreten der Änderung vom 16. Juli 2012 geltenden Fassung (AS 2012 3745; BBl 2007 5037, 2010 7841), die KVV in der nach Inkrafttreten der Änderung vom 1. Mai 2012 geltenden Fassung (AS 2012 1767) und die KLV in der nach Inkrafttreten der Änderung vom 1. September 2012 geltenden Fassung (AS 2012 4347).</w:t>
      </w:r>
    </w:p>
    <w:p>
      <w:r>
        <w:rPr>
          <w:b/>
        </w:rPr>
        <w:t>E. 4</w:t>
      </w:r>
    </w:p>
    <w:p>
      <w:r>
        <w:t>Die Zulassungsinhaberin muss dem BAG bis zum 31. Mai des Überprüfungsjahres folgende Unterlagen einreichen: a. die von einer zeichnungsberechtigten Person der zuständigen Auslandsvertretung der Zulassungsinhaberin bestätigten, am 1. April des Überprüfungsjahres geltenden Fabrikabgabepreise aller Vergleichsländer nach Artikel 35 Absatz 2; b. bei der erstmaligen Überprüfung die Anzahl der seit der Aufnahme in die Spezialitätenliste verkauften Packungen des Originalpräparates in der Schweiz, für sämtliche Handelsformen einzeln ausgewiesen; c. aktualisierte Daten mit Angabe der gegenüber der vorausgegangenen Überprüfung veränderten Informationen zum Arzneimittel.</w:t>
      </w:r>
    </w:p>
    <w:p>
      <w:r>
        <w:rPr>
          <w:b/>
        </w:rPr>
        <w:t>E. 4.1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oder unter den vom Bundesrat bestimmten Voraussetzungen von Chiropraktoren oder Chiropraktorinnen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4.2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70a Bst. c und Art. 75 KVV). Dieses hat in Art. 30 ff. KLV weitere Vorschriften über die Spezialitätenliste aufgestellt.</w:t>
      </w:r>
    </w:p>
    <w:p>
      <w:r>
        <w:rPr>
          <w:b/>
        </w:rPr>
        <w:t>E. 4.3</w:t>
      </w:r>
    </w:p>
    <w:p>
      <w:r>
        <w:t>Gemäss Art. 52 Abs. 1 Bst. b KVG erstellt das Bundesamt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Fabrikabgabepreis (FAP; vgl. SL-Handbuch Ziff. C.1.1.4 i.V.m. Art. 64 KVV).</w:t>
      </w:r>
    </w:p>
    <w:p>
      <w:r>
        <w:rPr>
          <w:b/>
        </w:rPr>
        <w:t>E. 4.3.1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Meyer/Heinrich Koller/Georg Müller/Thierry Tanquerel/Ulrich Zimmerli [Hrsg.], 2. Aufl. 2007 [nachfolgend: SBVR Eugster], Rz. 587, 591).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532 E. 3.3.1).</w:t>
      </w:r>
    </w:p>
    <w:p>
      <w:r>
        <w:rPr>
          <w:b/>
        </w:rPr>
        <w:t>E. 4.3.2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auch von den Parteien (und dem Verordnungsgeber, z.B. in den Übergangsbestimmungen) nicht einheitlich verwendet werden. Vorliegend soll mit dem Begriff der "Dosisstärke" die Wirkstoffmenge bezeichnet werden, die mit einer Einheit einer galenischen Form (beispielsweise einer Tablette)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4.4</w:t>
      </w:r>
    </w:p>
    <w:p>
      <w:r>
        <w:t>Art. 32 Abs. 1 KVG postuliert als Voraussetzung für die Kostenübernahme unter anderem den Grundsatz der wirtschaftlichen Leistungserbringung. Die Wirtschaftlichkeit der Leistungserbringung wird dabei periodisch überprüft (Art. 32 Abs. 2 KVG).</w:t>
      </w:r>
    </w:p>
    <w:p>
      <w:r>
        <w:rPr>
          <w:b/>
        </w:rPr>
        <w:t>E. 4.5</w:t>
      </w:r>
    </w:p>
    <w:p>
      <w:r>
        <w:t>Art. 65b KVV in der ab 1. Oktober 2009 geltenden Fassung (AS 2009 4245) regelt im 4. Abschnitt "Spezialitätenliste" die Beurteilung der Wirtschaftlichkeit von Arzneimitteln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4.5.1</w:t>
      </w:r>
    </w:p>
    <w:p>
      <w:r>
        <w:t>Gemäss Art. 34 Abs. 2 KLV (in der seit 1. Juli 2002 geltenden Fassung; AS 2002 3013)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Zudem wird bei einem Arzneimittel im Sinne von Artikel 31 Absatz 2 Buchstaben a und b ein Innovationszuschlag für die Dauer von höchstens 15 Jahren berücksichtigt; in diesem Zuschlag sind die Kosten für Forschung und Entwicklung angemessen zu berücksichtigen (Bst. d).</w:t>
      </w:r>
    </w:p>
    <w:p>
      <w:r>
        <w:rPr>
          <w:b/>
        </w:rPr>
        <w:t>E. 4.5.2</w:t>
      </w:r>
    </w:p>
    <w:p>
      <w:r>
        <w:t>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September 2012 geltenden Fassung; AS 2012 4347).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4.6</w:t>
      </w:r>
    </w:p>
    <w:p>
      <w:r>
        <w:t>Die im Rahmen der Aufnahme eines Arzneimittels in die Spezialitätenlisten gestellten Anforderungen müssen während der gesamten Verweildauer des Arzneimittels auf der Spezialitätenliste erfüllt sein. Die Modalitäten im Zusammenhang mit der Überprüfung alle drei Jahre werden in Art. 65d KVV geregelt. Diese Bestimmung unter dem Titel "Überprüfung der Aufnahmebedingungen alle drei Jahre" lautet wie folgt: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Auslandspreisvergleich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w:t>
      </w:r>
    </w:p>
    <w:p>
      <w:r>
        <w:rPr>
          <w:b/>
        </w:rPr>
        <w:t>E. 4.7</w:t>
      </w:r>
    </w:p>
    <w:p>
      <w:r>
        <w:t>Die Modalitäten der dreijährlichen Überprüfung werden in Art. 35b KLV (Sachüberschrift "Überprüfung der Aufnahmebedingungen alle drei Jahre") in der seit 1. August 2010 geltenden Fassung (AS 2010 3249) wie folgt geregelt: "1 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 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 Massgebend für die Überprüfung ist das Aufnahmedatum der ersten Handelsform eines Wirkstoffes, der in dem Originalpräparat enthalten ist.</w:t>
      </w:r>
    </w:p>
    <w:p>
      <w:r>
        <w:rPr>
          <w:b/>
        </w:rPr>
        <w:t>E. 5</w:t>
      </w:r>
    </w:p>
    <w:p>
      <w:r>
        <w:t>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5.1</w:t>
      </w:r>
    </w:p>
    <w:p>
      <w:r>
        <w:t>Das Bundesverwaltungsgericht hat in seinem Grundsatzurteil C-5912/2013 vom 30. April 2015 (zur Publikation vorgesehen) in E. 8 festgehalten, dass nach dem Willen des Gesetzgebers und der konstanten Praxis des Bundesgerichts bei der dreijährlichen Überprüfung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5.2</w:t>
      </w:r>
    </w:p>
    <w:p>
      <w:r>
        <w:t>Diesen Entscheid des Bundesverwaltungsgerichts hat das Bundesgericht mit Urteil 9C_417/2015 vom 14. Dezember 2015 vollumfänglich bestätigt. Das Bundesgericht hat dabei insbesondere nochmals hervorgehoben, dass die eingeschränkte Prüfung der Wirtschaftlichkeit, die allein auf einem Vergleich des Fabrikabgabepreises in der Schweiz mit dem Durchschnitt der Fabrikabgabepreise des grundsätzlich gleichen Arzneimittels in ausgewählten Vergleichsländern basiert, das Kosten-Nutzen-Verhältnis nicht berücksichtigt. Mit einem Verzicht auf die Durchführung eines TQV blieben allfällige Veränderungen in der SL, namentlich in Form von neuen, eventuell erheblich wirksameren Arzneimitteln oder von neuen Studien über die Wirkung des zu überprüfenden Arzneimittels gänzlich unbeachtet. Die Konsequenz dieser ausschliesslich preisbezogenen Überprüfung gemäss Art. 65d Abs. 1bis KVV sei, dass die Spezialitätenliste Arzneimittel enthalten könne, die qualitativ nicht mehr dem neuesten Stand bzw. dem höchsten Nutzen entsprechen (vgl. E. 5.4 des besagten Urteils).</w:t>
      </w:r>
    </w:p>
    <w:p>
      <w:r>
        <w:rPr>
          <w:b/>
        </w:rPr>
        <w:t>E. 5.3</w:t>
      </w:r>
    </w:p>
    <w:p>
      <w:r>
        <w:t>Mit Blick auf das dargelegte und vom Bundesgericht mit Urteil 9C_417/2015 vom 14. Dezember 2015 bestätigte Grundsatzurteil steht als Zwischenergebnis fest, dass die von der Vorinstanz im Rahmen der dreijährlichen Prüfung allein gestützt auf den APV verfügte Preissenkung nicht auf einer ausreichenden Rechtsgrundlage beruht, was bereits zur Aufhebung der angefochtenen Verfügung vom 5. Dezember 2012 führt. Entsprechend dem Antrag der Beschwerdeführerin ist vorliegend jedenfalls ein therapeutischer Quervergleich durchzuführen, zumal dieser aufgrund der Vorbringen der Beschwerdeführerin ohne Zweifel möglich ist. So hat sie z.B. im vorinstanzlichen Verfahren die Konkurrenzpräparate E._______, K._______ (vgl. Beilage 2 zu BAG-act. 11) und zusätzlich im vorliegenden Beschwerdeverfahren H._______ (vgl. BVGer-act 21 S. 2) erwähnt. Ob weitere Konkurrenzpräparate in den Vergleich mit einzubeziehen sind, wird die Vorinstanz zu prüfen haben. Nicht zu beurteilen ist, wie der TQV im vorliegenden Fall konkret auszugestalten und wie die Vergleichsgruppe zu bestimmen sein werden. In diesem Zusammenhang ist immerhin darauf hinzuweisen, dass nach der ab 1. Juni 2015 geltenden, revidierten und gemäss Abs. 2 der Übergangsbestimmungen zur Änderung der KVV vom 29. April 2015 unmittelbar anwendbaren Fassung von Art. 65d Abs. 1 KVV (AS 2015 1255; vgl. auch die Änderungen in der KLV per 1. Juni 2015, insbesondere deren Art. 34 "Wirtschaftlichkeit", 34a-c "Auslandpreisvergleich" und Art. 34d-f "Überprüfung der Aufnahmebedingungen alle drei Jahre" [AS 2015 1359]) das BAG sämtliche Arzneimittel, die in der Spezialitätenliste aufgeführt sind, alle drei Jahre daraufhin überprüft, ob sie die Aufnahmebedingungen noch erfüllen. Dafür werden die Arzneimittel aufgrund ihrer Zugehörigkeit zu einer therapeutischen Gruppe der Spezialitätenliste in drei Einheiten aufgeteilt. Jede Einheit wird alle drei Jahre überprüft. Gemäss Abs. 1 der Übergangsbestimmung zur Änderung der KVV vom 29. April 2015 hätte die erste Überprüfung der Aufnahmebedingungen nach Art. 65d KVV im Jahr 2016 durchgeführt werden sollen. Jedoch hat der Bundesrat aufgrund des zwischenzeitlich ergangenen Urteils des Bundesgerichts 9C_417/2015 vom 14. Dezember 2015 entschieden, die periodische Überprüfung der Arzneimittelpreise im Jahr 2016 auszusetzen, um die Verordnungsbestimmungen an die Vorgaben des Bundesgerichts anzupassen. Gemäss Medienmitteilung werde die Überprüfung der Aufnahmebedingungen nach Inkrafttreten der neuen Verordnungsbestimmungen wieder aufgenommen werden. Diese solle im Jahr 2017 erfolgen (vgl. die Medienmitteilung vom 24. Februar 2016, abrufbar unter www.bag.admin.ch &gt; Dokumentation, zuletzt besucht am 29. Februar 2016).</w:t>
      </w:r>
    </w:p>
    <w:p>
      <w:r>
        <w:rPr>
          <w:b/>
        </w:rPr>
        <w:t>E. 6</w:t>
      </w:r>
    </w:p>
    <w:p>
      <w:r>
        <w:t>Auch wenn die umstrittene Preisreduktion aufgrund des unvollständig abgeklärten Sachverhalts im Zusammenhang mit dem therapeutischen Quervergleich wie dargestellt jedenfalls aufzuheben ist, bleibt zu prüfen, ob vorliegend in dem Sinne eine umfassende Wirtschaftlichkeitsprüfung vorzunehmen ist, als neben dem TQV auch ein APV durchgeführt werden kann.</w:t>
      </w:r>
    </w:p>
    <w:p>
      <w:r>
        <w:rPr>
          <w:b/>
        </w:rPr>
        <w:t>E. 6.1.1</w:t>
      </w:r>
    </w:p>
    <w:p>
      <w:r>
        <w:t>Im Zusammenhang mit dem APV rügt die Beschwerdeführerin insbesondere, dass die Vorinstanz gegen Art. 34 Abs. 2 und Art. 35 Abs. 1 KLV sowie gegen Ziffer C.3.5 des SL-Handbuchs ver­stosse, indem sie das in _______ von der Lizenzgeberin vertriebene Arzneimittel Z._______ bei der Durchführung eines Auslandpreisvergleichs berücksichtige. Zum einen handle es sich nicht um das gleiche Arzneimittel, was Voraussetzung wäre, um es berücksichtigen zu können. Das von der Beschwerdeführerin in der Schweiz vertriebene Z._______ unterscheide sich in seiner quantitativen Zusammensetzung der Hilfsstoffe, der Tablettenhärte, in der Freigabespezifikation des Gehalts an W._______ sowie der vertriebenen Packungsgrösse vom in _______ vertriebenen Z._______. Zum anderen sei Ziffer C.3.5 des SL-Handbuches vorliegend nicht anwendbar, weil es sich mit sogenannten "Ausweichkonstrukten" befasse. Bei Ziffer C.3.5 des SL-Handbuches gehe es um den gemeinsamen Nenner, wonach vermeintlich unterschiedliche Unternehmen eigentlich die gleichen seien. Dieser Sachverhalt sei vorliegend nicht gegeben. Mit dem Erwerb der Lizenz stelle die Beschwerdeführerin in Eigenverantwortung und auf eigenes Risiko ein Arzneimittel allein für den Schweizer Markt her. Einfluss auf die Lizenzgeberin habe sie demgegenüber keinen. Doch selbst wenn die Beschwerdeführerin die Lizenzgeberin wäre, entfiele aus wettbewerbsrechtlichen Gründen eine Subsumption unter die einschlägige Handbuchbestimmung. Die angefochtene und auf einem unzulässigen APV basierende Preissenkungsmassnahme verletze die Wirtschaftsfreiheit (vgl. BVGer-act. 1 und 21).</w:t>
      </w:r>
    </w:p>
    <w:p>
      <w:r>
        <w:rPr>
          <w:b/>
        </w:rPr>
        <w:t>E. 6.1.2</w:t>
      </w:r>
    </w:p>
    <w:p>
      <w:r>
        <w:t>Dagegen wendet die Vorinstanz im Wesentlichen ein, dass es sich bei Z._______ in der Schweiz und Z._______ in _______ um das inhaltlich gleiche Arzneimittel handle, da es dieselbe Wirkstoffzusammensetzung sowie dieselbe Indikation aufweise. Ansonsten bräuchte die Beschwerdeführerin auch keine Lizenz für den Vertrieb des Arzneimittels. Die von der Beschwerdeführerin angeführten Unterschiede würden die beiden Präparate nicht zu zwei unterschiedlichen Arzneimittel machen. Die Zulassung der beiden Präparate basiere sowohl in der Schweiz als auch in _______ auf derselben klinischen Dokumentation. Im Weiteren könne aus Art. 34 Abs. 2 Bst. a und aus Art. 35 Abs. 1 KLV nicht geschlossen werden, dass der APV nur durchgeführt werden könne, wenn das Arznei­mittel in den Referenzländern mit der identischen Bezeichnung und vom identischen Unternehmen vertrieben werde. Ziffer C.3.5 des SL-Handbuches schliesse nicht aus, dass bei fehlender Auslandvertretung der Schweizer Zulassungsinhaberin mit anderen das zu überprüfende Arzneimittel vertreibenden Zulassungsinhaberinnen verglichen werde. Sinn und Zweck von Ziffer C.3.5 des SL-Handbuches sei, einen APV mit möglichst vielen Referenzländern zu ermöglichen. Ein Festhalten an engen Unternehmensstrukturen würde dem zuwiderlaufen. Es spiele daher keine Rolle, ob ein Unternehmen Einfluss auf die Preisgestaltung habe. Andernfalls wäre ein APV für sehr viele Arzneimittel nicht mehr möglich. Vorliegend seien die Beschwerdeführerin und die Lizenzgeberin durch das Lizenzverhältnis miteinander verbunden und es entspreche der Logik, dass die Lizenzgeberin und die Lizenznehmerin aufgrund der vertraglich engen Beziehung gleich behandelt würden. Die Wirtschaftsfreiheit sei vorliegend nicht tangiert. Doch selbst wenn sie tangiert wäre, bestünde eine genügende gesetzliche Grundlage für die erfolgte Preissenkung (vgl. BVGer-act. 15 und 27).</w:t>
      </w:r>
    </w:p>
    <w:p>
      <w:r>
        <w:rPr>
          <w:b/>
        </w:rPr>
        <w:t>E. 6.2.1</w:t>
      </w:r>
    </w:p>
    <w:p>
      <w:r>
        <w:t>Zwar weist die Vorinstanz nicht nach, dass die Zulassung der beiden Präparate in den jeweiligen Ländern auf derselben klinischen Dokumentation basiert. Dennoch kann der Beschwerdeführerin nicht gefolgt werden, soweit sie geltend macht, dass es sich bei dem von ihr in der Schweiz vertriebenen Z._______ und dem von der Lizenzgeberin in _______ vertriebenen Z._______ um unterschiedliche Arzneimittel handeln soll. Denn die Identität eines Arzneimittels bestimmt sich im Wesentlichen nach seinem Wirkstoff, seiner Zusammensetzung, den Indikationen, für welche es zugelassen ist, und der Arzneimittelinformation, insbesondere der Dosierungsempfehlung (vgl. BVGE 2010/22 E. 5.3.1 f. m.w.H.; vgl. auch E. 4.3.2 hiervor). Wie die Vorinstanz zutreffend dargelegt hat, enthalten die beiden Arzneimittel im Wesentlichen dieselben Wirkstoffe und Hilfsstoffe (vgl. auch die Beschwerdebeilagen 4-7; BVGer-act 1). Auch wenn die Beschwerdeführerin nachweist, dass gewisse Unterschiede bezüglich der quantitativen Zusammensetzung der Hilfsstoffe sowie der Freigabespezifikation des Gehaltes an W._______ bestehen (vgl. Beschwerdebeilagen 4-7; BVGer-act. 1), führen diese gemäss den länderspezifischen Fachinformationen in der Praxis nicht zu einer unterschiedlichen Zulassung bzw. Anwendung. Beide Produkte sind für dieselben Indikationen zugelassen und enthalten insbesondere auch dieselbe Dosierungsempfehlung (vgl. die Fachinformationen abrufbar unter www.compendium.ch, unter www.ansm.sante.fr sowie unter www.vidal.fr, zuletzt besucht am 29. Februar 2016). Ebenso wenig führen eine unterschiedliche Tablettenhärte oder verschiedene Aromavarianten zu einem anderen Ergebnis.</w:t>
      </w:r>
    </w:p>
    <w:p>
      <w:r>
        <w:rPr>
          <w:b/>
        </w:rPr>
        <w:t>E. 6.2.2</w:t>
      </w:r>
    </w:p>
    <w:p>
      <w:r>
        <w:t>In Bezug auf die unterschiedlichen Packungsgrössen in beiden Ländern hat die Vorinstanz im Weiteren einlässlich dargelegt, wie diesbezüglich zu verfahren sei. Gemäss der Ausführungsbestimmung C.3.4 des SL-Handbuches sind in diesem Fall die Preise der am ehesten vergleichbaren Packungsgrösse und Dosisstärke im betreffenden Referenzland zu berücksichtigen. Anschliessend sind die verschiedenen Packungsgrössen gleicher Dosisstärke linear umzurechnen. Daher kann die Beschwerdeführerin auch aus diesem Umstand nichts zu ihren Gunsten ableiten. Überdies ergäbe die von der Beschwerdeführerin eingekaufte Lizenz für Z._______ keinen Sinn, würde es sich bei Z._______ in _______ tatsächlich um ein anderes Arzneimittel handeln. Demnach handelt es sich bei dem von der Lizenzgeberin vertriebenen Z._______ um das gleiche Arzneimittel wie das von der Beschwerdeführerin in der Schweiz verkaufte Präparat, zumal die Herstellung der Aromavariante "a._______", welche sowohl in der Schweiz (von der Beschwerdeführerin) als auch in _______ (von der Lizenzgeberin) vertrieben wird, durch die Lizenzgeberin erfolgt (vgl. Beschwerdebeilage 3; BVGer-act. 1). Demnach kann vorliegend auch nicht die Rede davon sein, dass die Vorinstanz beim APV einen "europäischen Wirkstoffpreisvergleich" vorgenommen hätte. Dessen ungeachtet ist der Beschwerdeführerin grundsätzlich darin zuzustimmen, dass es sich bei einem Arzneimittel, welches sich im Ausland unter gleichem Namen auf dem Markt befindet, nicht notwendigerweise auch um dasselbe Arzneimittel handeln muss. Dies bestreitet die Vorinstanz zu Recht nicht.</w:t>
      </w:r>
    </w:p>
    <w:p>
      <w:r>
        <w:rPr>
          <w:b/>
        </w:rPr>
        <w:t>E. 6.3</w:t>
      </w:r>
    </w:p>
    <w:p>
      <w:r>
        <w:t>Aufgrund des Dargelegten ist im Weiteren die Frage zu klären, ob ein Einbezug in den APV ausgeschlossen ist, wenn das zu vergleichende Arzneimittel im Referenzland von der Lizenzgeberin selbst vertrieben wird.</w:t>
      </w:r>
    </w:p>
    <w:p>
      <w:r>
        <w:rPr>
          <w:b/>
        </w:rPr>
        <w:t>E. 6.3.1</w:t>
      </w:r>
    </w:p>
    <w:p>
      <w:r>
        <w:t>Wie bereits dargelegt, hat das Departement gestützt auf seine Ermächtigung in den Art. 30 ff. KLV nähere Vorschriften zur Spezialitätenliste erlassen (vgl. E. 4.2 hiervor). Hinsichtlich der Ausgestaltung des Auslandpreisvergleichs kann das SL-Handbuch als Auslegungshilfe herangezogen werden (vgl. E. 3.2.3 hiervor). Das SL-Handbuch enthält in Ziffer C.3 nähere Ausführungen zum Auslandpreisvergleich gemäss Art. 35 KLV. Dessen Durchführung wird insbesondere in Ziffer C.3.5 näher ausgeführt. Deren Wortlaut lautet wie folgt: "Verglichen wird grundsätzlich mit dem gleichen Arzneimittel desselben Unternehmens, einer Tochtergesellschaft oder einer Lizenznehmerin, auch wenn das Arzneimittel im Ausland unter einer anderen Bezeichnung im Handel ist. Als dasselbe Unternehmen gilt auch ein Unternehmen, das für das betreffende Arzneimittel als Rechtsnachfolger (z.B. durch Fusion oder den Verkauf der Vertriebsrechte) zuständig ist. Verweigert der Partner die Preisangabe, ist dies schriftlich zu belegen. Ist in den Vergleichsländern kein gleiches Arzneimittel im Handel, kann mit ausländischen Arzneimitteln mit demselben Wirkstoff verglichen werden."</w:t>
      </w:r>
    </w:p>
    <w:p>
      <w:r>
        <w:rPr>
          <w:b/>
        </w:rPr>
        <w:t>E. 6.3.2</w:t>
      </w:r>
    </w:p>
    <w:p>
      <w:r>
        <w:t>Wenn in Ziff. C.3.5 des SL-Handbuchs ausgeführt wird, es werde grundsätzlich mit den gleichen Arzneimitteln desselben Unternehmens, einer Tochtergesellschaft oder einer Lizenznehmerin verglichen, so wird damit lediglich auf den Regelfall Bezug genommen, wonach die Zulassungsinhaberinnen regelmässig innerhalb international verflochtener Konzernstrukturen tätig sind. Der Verordnungsgeber hat demnach die häufige Konstellation im Auge, wonach das entsprechende Arzneimittel im Ausland durch dasselbe Unternehmen, eine Tochtergesellschaft oder eine Lizenznehmerin vertrieben wird. Dies hat auch die Beschwerdeführerin zutreffend erkannt. Dass jedoch in Fällen, in welchen die Zulassungsinhaberin in der Schweiz lediglich eine Lizenznehmerin ist und das Arzneimittel im Ausland von der Lizenzgeberin selbst oder von einer dritten unabhängigen Lizenznehmerin vertrieben wird, ein APV nicht mehr zulässig sein soll, kann mit Rücksicht auf eine systematische und teleologische Auslegung der Norm nicht angenommen werden. Soweit die Beschwerdeführerin diese Schlussfolgerung aus Art. 35 Abs. 1 KLV sowie Ziffer C.3.5 des SL-Handbuches herleitet, beruht ihre Interpretation auf einer zu engen, rein grammatikalischen Auslegung der Norm. 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 Zulassungsinhaberin unabhängig sind, das mit dem APV verfolgte Ziel noch besser zu gewährleisten; denn damit kann verhindert werden, dass die Schweizer Zulassungsinhaberin durch entsprechende Massnahmen Preissenkungen verhindert (vgl. dazu das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S. 70 Rz. 159 f., abrufbar unter www.parlament.ch &gt; Organe &gt; Kommissionen &gt; Parlamentarische Verwaltungskontrolle &gt; Publikationen &gt; Berichte 2013, zuletzt besucht am 23. März 2016).</w:t>
      </w:r>
    </w:p>
    <w:p>
      <w:r>
        <w:rPr>
          <w:b/>
        </w:rPr>
        <w:t>E. 6.3.3</w:t>
      </w:r>
    </w:p>
    <w:p>
      <w:r>
        <w:t>Ein APV ist demnach auch dann zulässig, wenn das Arzneimittel im Ausland nicht von der Schweizer Zulassungsinhaberin (oder einer Tochtergesellschaft bzw. einer Rechtsnachfolgerin), sondern von der Lizenzgeberin selbst oder von einer dritten Lizenznehmerin vertrieben wird. Die Vorinstanz weist zu Recht darauf hin, dass es sich bei Ziff. C.3.5 um eine beispielhafte Aufzählung handelt, die auf den Regelfall Bezug nimmt, wonach die Zulassungsinhaber regelmässig innerhalb international verflochtener Konzernstrukturen tätig sind (vgl. Urteil des Bundesverwaltungsgerichts C-32/2013 vom 17. August 2015 E. 6.2.3). Demnach kann der gegenteiligen Argumentation der Beschwerdeführerin nicht gefolgt werden, zumal ein APV insbesondere bei Arzneimitteln, die in der Schweiz von einer Lizenznehmerin und in den Referenzländern von dritten vollkommen unabhängigen Unternehmen vertrieben werden, in vielen Fällen nicht mehr möglich wäre. Wenn ein in der Schweiz von einer Lizenznehmerin vertriebenes Arzneimittel in den Referenzländern jeweils von der Lizenzgeberin selbst vertrieben würde, träte sogar der Extremfall ein, dass ein APV gänzlich ausgeschlossen wäre. Dies kann nicht im Sinne der entsprechenden Regelung sein. Nach dem Dargelegten steht der Vertrieb im Ausland durch die Lizenzgeberin selbst oder durch eine andere Lizenznehmerin dem Einbezug des entsprechenden Arzneimittels in den APV nicht entgegen (in diesem Sinn auch Art. 34a Abs. 2 KLV in der ab 1. Juni 2015 geltenden Fassung; AS 2015 1359 S. 1361). Die Vorinstanz hat sich demnach bei der Durchführung des Auslandpreisvergleiches an den rechtlichen Rahmen gehalten.</w:t>
      </w:r>
    </w:p>
    <w:p>
      <w:r>
        <w:rPr>
          <w:b/>
        </w:rPr>
        <w:t>E. 6.4</w:t>
      </w:r>
    </w:p>
    <w:p>
      <w:r>
        <w:t>Aufgrund des Dargelegten kann offenbleiben, ob die Verfügung vom 5. Dezember 2012 gegen die Wirtschaftsfreiheit und gegen das damit einhergehende Gebot der Gleichbehandlung der Gewerbegenossen ver­stösst. Sie ist ohnehin aufzuheben und die Sache zur erneuten Überprüfung im Sinne der Erwägungen an die Vorinstanz zurückzuweisen.</w:t>
      </w:r>
    </w:p>
    <w:p>
      <w:r>
        <w:rPr>
          <w:b/>
        </w:rPr>
        <w:t>E. 7</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Da der entscheidwesentliche Sachverhalt bezüglich der Durchführung eines TQV nicht abgeklärt wurde, kann die Streitsache nicht abschliessend materiell beurteilt werden. Bei der erneuten Überprüfung ist auch zu beachten, dass sich der von der Vorinstanz vorliegend vorgenommene APV an den rechtlichen Rahmen hält, handelt es sich doch beim von der Beschwerdeführerin vertriebenen Z._______ und beim von der Lizenzgeberin vertriebenen Z._______ um das gleiche Arzneimittel. In diesem Zusammenhang ist gerade nicht erforderlich, dass die schweizerische Zulassungsinhaberin Einfluss auf die Preisbildung im Ausland hat. Aus den dargelegten Gründen ist die Beschwerde dahingehend gutzuheissen, dass die Angelegenheit, wie ausgeführt, in Aufhebung der angefochtenen Verfügung an die Vorinstanz zur Vornahme einer umfassenden Prüfung der Aufnahmebedingungen (unter Einschluss von APV und TQV) und anschliessend neuer Verfügung zurückzuweisen ist. Im Übrigen ist die Beschwerde abzuweisen.</w:t>
      </w:r>
    </w:p>
    <w:p>
      <w:r>
        <w:rPr>
          <w:b/>
        </w:rPr>
        <w:t>E. 8</w:t>
      </w:r>
    </w:p>
    <w:p>
      <w:r>
        <w:t>Zu befinden bleibt noch über die Verfahrenskosten und eine allfällige Parteientschädigung.</w:t>
      </w:r>
    </w:p>
    <w:p>
      <w:r>
        <w:rPr>
          <w:b/>
        </w:rPr>
        <w:t>E. 8.1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8.2</w:t>
      </w:r>
    </w:p>
    <w:p>
      <w:r>
        <w:t>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8.3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8.4</w:t>
      </w:r>
    </w:p>
    <w:p>
      <w:r>
        <w:t>Da keine Kostennote eingereicht wurde, ist die Entschädigung auf­grund der Akten festzusetzen (Art. 14 Abs. 2 Satz 2 VGKE). Vorliegend sind für die von der Beschwerdeführerin geltend gemachte Parteientschädigung der Aufwand für die Erstellung der 20-seitigen Beschwerdeschrift vom 19. Dezember 2012 inkl. Gesuch um superprovisorische und vorsorgliche Massnahmen (BVGer-act. 1), der 10-seitigen Replik vom 16. Oktober 2013 (BVGer-act. 21), von zwei Telefonaten vom 14. Dezember 2015 und vom 1. Februar 2016 (BVGer-act. 29 und 31) sowie der aus einer Seite bestehenden Stellungnahme vom 1. Februar 2016 (BVGer-act. 32) zu berücksichtigen. Unter Berücksichtigung des gebotenen und aktenkundigen Aufwands, der Bedeutung der Streitsache und der Schwierigkeit des vorliegend zu beurteilenden Verfahrens erscheint die Festsetzung einer Parteientschädigung in der Höhe von Fr. 9'000.-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