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C-6592/2018 vom 16. September 2020</w:t>
      </w:r>
    </w:p>
    <w:p>
      <w:r>
        <w:t>Bundesverwaltungsgericht, 2020-09-16, DE</w:t>
      </w:r>
    </w:p>
    <w:p>
      <w:r>
        <w:rPr>
          <w:b/>
        </w:rPr>
        <w:t xml:space="preserve">Quelle: </w:t>
      </w:r>
      <w:r>
        <w:t>https://mcp.opencaselaw.ch/entscheid/bvger_C-6592_2018</w:t>
      </w:r>
    </w:p>
    <w:p>
      <w:r>
        <w:t>FR: TAF C-6592/2018 du 16 septembre 2020</w:t>
      </w:r>
    </w:p>
    <w:p>
      <w:r>
        <w:t>IT: TAF C-6592/2018 del 16 settembre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bildet die Verfügung der Vorinstanz vom 19. Oktober 2018, mit welcher der Publikumspreis (PP) des von der Beschwerdeführerin vertriebenen Arzneimittels B._______ im Rahmen der Überprüfung der Aufnahmebedingungen alle drei Jahre per 1. Dezember 2018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C-6591/2012 E. 3.3 m.w.H.).</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am 19. Oktober 2018, geltenden materiellen Bestimmungen (Urteil des BVGer C-5912/2013 vom 30. April 2015 [nicht in BVGE 2015/51 publizierte] E. 2.3). Dazu gehören neben dem KVG (SR 832.10; in der ab dem 1. Januar 2018 gültigen Fassung), insbesondere die KVV (in der ab dem 1. Januar 2018 gültigen Fassung) sowie die KLV (in der ab dem 17. Juli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30 Abs. 1 KLV, Art. 65 Abs. 1 und 3 KVV).</w:t>
      </w:r>
    </w:p>
    <w:p>
      <w:r>
        <w:rPr>
          <w:b/>
        </w:rPr>
        <w:t>E. 4.7</w:t>
      </w:r>
    </w:p>
    <w:p>
      <w:r>
        <w:t>Gemäss bundesgerichtlicher Rechtsprechung (BGE 143 V 369 E. 6) ist die gültige Zulassung des Schweizerischen Heilmittelinstituts Swissmedic eine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weitergehen darf als die heilmittelrechtliche Zulassung, muss das BAG auf die Swissmedic-Zulassung bzw. die Fachinformationen abstellen können. In diesem Zusammenhang ist zu beachten, dass Swissmedic die zugelassenen Arzneimittel und damit einhergehend auch die Fachinformationen periodisch sowie nach jeweils fünf Jahren anlässlich der Erneuerung der Zulassung überprüft.</w:t>
      </w:r>
    </w:p>
    <w:p>
      <w:r>
        <w:rPr>
          <w:b/>
        </w:rPr>
        <w:t>E. 4.8</w:t>
      </w:r>
    </w:p>
    <w:p>
      <w:r>
        <w:t>Ein Arzneimittel gilt nach Art. 65b KVV als wirtschaftlich, wenn es die indizierte Heilwirkung mit möglichst geringem finanziellem Aufwand gewährleistet (Abs. 1). Die Wirtschaftlichkeit wird gemäss Abs. 2 aufgrund eines Vergleichs mit dem Preis in Referenzländern (Bst. a; Auslandpreisvergleich [APV]) und mit anderen Arzneimitteln (Bst. b; therapeutischen Quervergleichs [TQV])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Abs. 4bis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(Bst. b), verglichen.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4.9</w:t>
      </w:r>
    </w:p>
    <w:p>
      <w:r>
        <w:t>Gemäss Art. 34f Abs. 1 KLV werden beim therapeutischen Quervergleich nach Art. 65b Abs. 2 Bst. b KVV diejenigen Originalpräparate berücksichtigt, die zum Zeitpunkt der Überprüfung in der Spezialitätenliste aufgeführt sind und zur Behandlung derselben Krankheit eingesetzt werden.</w:t>
      </w:r>
    </w:p>
    <w:p>
      <w:r>
        <w:rPr>
          <w:b/>
        </w:rPr>
        <w:t>E. 5</w:t>
      </w:r>
    </w:p>
    <w:p>
      <w:r>
        <w:t>Vorliegend nicht streitig ist der Umstand, dass das Arzneimittel B._______ nach wie vor über eine gültige Zulassung des Heilmittelinstituts (Swissmedic) verfügt (siehe auch die Liste der zugelassenen Präparate auf ( &lt; www.swissmedic.ch &gt; Listen und Verzeichnisse &gt; Humanarzneimittel &gt; zugelassene Arzneimittel, zuletzt abgerufen am 15. Juli 2020) und die Zulassungsvoraussetzungen der Wirksamkeit und Zweckmässigkeit weiterhin erfüllt. Umstritten ist hingegen das Zulassungskriterium der Wirtschaftlichkeit. So ist vorliegend streitig und vom Bundesverwaltungsgericht zu prüfen, ob die von der Vorinstanz im Rahmen der dreijährlichen Überprüfung der Aufnahmebedingungen angeordnete Preisreduktion rechtmässig ist. Dabei ist lediglich vorliegend die Berechnung des TQV, nicht aber jene des APV, streitig.</w:t>
      </w:r>
    </w:p>
    <w:p>
      <w:r>
        <w:rPr>
          <w:b/>
        </w:rPr>
        <w:t>E. 5.1</w:t>
      </w:r>
    </w:p>
    <w:p>
      <w:r>
        <w:t>Die Vorinstanz hat in der angefochtenen Verfügung das Arzneimittel B._______ im TQV mit den Arzneimitteln G._______ und H._______ verglichen, unter Ausschluss der weiteren, von der Beschwerdeführerin als Vergleichsprodukte vorgeschlagenen Arzneimittel E._______, F._______ und J._______. Sie begründet dieses Vorgehen damit, dass der TQV pro Gamme durchzuführen sei. Das streitbezogene Arzneimittel B._______ gehöre, gleichfalls wie die Vergleichsprodukte G._______ und H._______, der Gamme L._______ an. Die weiteren von der Beschwerdeführerin vorgeschlagenen Arzneimittel E._______, F._______ und J._______ seien demgegenüber der Gamme K._______ zugehörig und daher als Vergleichsprodukte für den TQV ausgeschlossen.</w:t>
      </w:r>
    </w:p>
    <w:p>
      <w:r>
        <w:rPr>
          <w:b/>
        </w:rPr>
        <w:t>E. 5.2</w:t>
      </w:r>
    </w:p>
    <w:p>
      <w:r>
        <w:t>Die Beschwerdeführerin bestreitet nicht die Zugehörigkeiten der erwähnten Arzneimittel zu den Gammen K._______ respektive L._______. Sie macht jedoch geltend, die Gammeneinteilung sei für die Auswahl der Vergleichsprodukte nicht massgebend. Entscheidend sei einzig, dass alle Produkte zur Behandlung derselben Krankheit dienten, derselben Wirkstoffklasse angehörten und dieselbe Wirksamkeit erzielten. Der einzige Unterschied zwischen den N._______ (...), die der Gamme K._______ zugehörten, und jenen der Gamme L._______ liege darin, dass letztere Produkte über einen M._______ verfügten. Die N._______ (..) mit M._______ und jene ohne M._______ seien jedoch frei austauschbar und würden im klinischen Alltag und in der ärztlichen Praxis als gleich wirksam erachtet. Zum Beweis dieser Behauptung stützt sich die Beschwerdeführerin auf verschiedene Studien (Beschwerdebeilagen 14-26). Insgesamt habe die Vorinstanz die Auswahl der Vergleichspräparate für den TQV in Verletzung ihres Ermessens sowie willkürlich, unsachgerecht und unangemessen getroffen.</w:t>
      </w:r>
    </w:p>
    <w:p>
      <w:r>
        <w:rPr>
          <w:b/>
        </w:rPr>
        <w:t>E. 5.3</w:t>
      </w:r>
    </w:p>
    <w:p>
      <w:r>
        <w:t>Die Vorinstanz hält dem in ihrer Vernehmlassung entgegen, die Arzneimittel der Gammen K._______ sowie L._______ wiesen Unterschiede auf, die insbesondere auch zu einer unterschiedlichen Wirksamkeit führen könnten, und seien deshalb entgegen der Aussage der Beschwerdeführerin nur bedingt therapeutisch austauschbar. Der Vorteil der M._______ (...)-Präparate gegenüber nicht M._______ (...)-Präparaten liege in einer besseren Verträglichkeit, was einen ersten Unterschied darstelle. Allerdings werde kontrovers diskutiert, ob eine M._______ einen vorteiligen oder einen eher nachteiligen Effekt auf die N._______ (...) habe. So sei das Absorptionsfenster von N._______ klein und die M._______ könne daher die Absorption negativ beeinflussen. In diesem Zusammenhang stützt sich die Vorinstanz ebenfalls auf eine Studie (vgl. Zitat in Rz. 18 der Vernehmlassung). Die von ihr vorgenommene Auswahl der Vergleichspräparate innerhalb derselben Gamme basiere daher auf sachlichen Gründen. Somit habe sie weder willkürlich gehandelt noch ihr Ermessen überschritten. In ihrer Vernehmlassung weist die Vorinstanz sodann ergänzend darauf hin, dass die Gammeneinteilung zur Durchführung der im Jahr 2009 beschlossenen Überprüfung der Aufnahmebedingungen alle drei Jahre von ihr in Zusammenarbeit mit den Pharmaverbänden und Krankenversicherern erarbeitet worden sei. Die separate Durchführung pro Arzneiform bezwecke, eine Kohärenz innerhalb der verschiedenen Arzneiformen herbeizuführen, da es einem Anliegen der Pharmaindustrie entspreche, für spezifische Arzneiformen, (zum Beispiel für Arzneiformen für Kinder in Suppositorien- oder Sirupform oder für Arzneiformen, welche eine spezifische Galenik aufweisen [bspw. M._______]) eine separate Überprüfung der Wirtschaftlichkeit durchzuführen. Durch die Gammeneinteilung würden im Rahmen des TQV die am besten miteinander vergleichbaren Arzneimittel berücksichtigt.</w:t>
      </w:r>
    </w:p>
    <w:p>
      <w:r>
        <w:rPr>
          <w:b/>
        </w:rPr>
        <w:t>E. 5.4</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135 II 296 E. 4.4.3; BGE 133 II 35 E. 3; BGE 128 V 159 E. 3b/cc).</w:t>
      </w:r>
    </w:p>
    <w:p>
      <w:r>
        <w:rPr>
          <w:b/>
        </w:rPr>
        <w:t>E. 5.5</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zuletzt abgerufen am 15. Juli 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m.w.H.).</w:t>
      </w:r>
    </w:p>
    <w:p>
      <w:r>
        <w:rPr>
          <w:b/>
        </w:rPr>
        <w:t>E. 5.6</w:t>
      </w:r>
    </w:p>
    <w:p>
      <w:r>
        <w:t>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 wird der Begriff auch im Zusammenhang mit rechtlichen Fragen der Spezialitätenliste gebraucht.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insbesondere gleiche Dosierungsempfehlung; vgl. dazu BVGE 2010/22 E. 5.3.1 f. m.w.H.). In diesem Sinn wird der Begriff der Gamme denn auch im SL-Handbuch verstanden, wenn darin ausgeführt wird, dass die Gammeneinteilung berücksichtige, dass ein Arzneimittel unterschiedliche Handelsformen mit unterschiedlichen Preisen in den Referenzländern aufweisen könne, wobei die unterschiedlichen Handelsformen eines Arzneimittels in 16 verschiedene Gammen eingeteilt seien und pro Gamme eines Arzneimittels ein separater APV und TQV durchgeführt werde (vgl. dazu Ziff. E. 1.3 des SL-Handbuchs samt nachfolgender Tabelle). Diese auf dem SL-Handbuch des BAG basierende Umschreibung des Begriffs Gamme hat das Bundesverwaltungsgericht seither mehrfach bestätigt (vgl. z.B. Urteile des BVGer C-1216/2010 vom 15. Januar 2013 E. 5.2.2, C-5533/2012 vom 5. Februar 2016 E. 4.3, C-6050/2013 vom 9. Januar 2017 E. 6.2.1 und C-3860 vom 27. Mai 2020 E. 7.7.2). Damit steht auch fest, dass die in Ziff. E. 1.3 des SL-Handbuchs vorgenommene Gammeneinteilung durch ausreichende rechtssatzmässige Regelungen gedeckt ist. Daran ändern weder die seither ergangenen Änderungen des KVG und der dazugehörigen Verordnungen (vgl. Art. 96 KVG i.V.m. Art. 75 KVG sowie Art. 30 ff. KLV, insbes. Art. 34f KLV) noch des SL-Handbuches etwas. Ausserdem hat das Bundesverwaltungsgericht in seiner Rechtsprechung bereits geklärt, dass für die Durchführung des TQV sämtliche Produkte derselben Gamme zu berücksichtigen sind (vgl. Urteil des BVGer C-5533/2012 vom 5. Februar 2016 5.4.4). In dem erwähnten Urteil bezog sich das Bundesverwaltungsgericht zwar noch auf die damals geltende Version des Handbuchs betreffend die Spezialitätenliste vom 1. September 2011 (Stand 1. März 2013). In Bezug auf die vorliegend massgebende Ziff. E. 1.3 des Handbuchs hat sich diesbezüglich jedoch im aktuell anwendbaren SL-Handbuch vom 1. Mai 2017 (mit Ausnahme der Präzisierung, dass pro Gamme eines Arzneimittels je ein separater APV und TQV durchzuführen ist [vgl. hierzu BGE 142 V 368 E. 5.3]) nichts verändert. Es gibt daher vorliegend keine Gründe, von der bisherigen Rechtsprechung des Bundesverwaltungsgerichts abzuweichen. Die vom BAG im SL-Handbuch vom 1. Mai 2017 nach wie vor vorgesehene Unterteilung der Arzneimittel in Gammen ist daher auch vorliegend zu berücksichtigen.</w:t>
      </w:r>
    </w:p>
    <w:p>
      <w:r>
        <w:rPr>
          <w:b/>
        </w:rPr>
        <w:t>E. 5.7</w:t>
      </w:r>
    </w:p>
    <w:p>
      <w:r>
        <w:t>In Bezug auf die Vergleichsgruppenbildung sowie die Auswahl der Vergleichspräparate hat das Bundesgericht sodann in einem neueren Entscheid das weite Ermessen der Vorinstanz ausdrücklich bestätigt. So hat es entschieden, dass es im Ermessen der Vorinstanz liegt, im jeweiligen Einzelfall darüber zu befinden, welche und damit auch wie viele der in Frage kommenden Arzneimittel dem TQV effektiv zugrunde zu legen sind. Insbesondere ist die Vorinstanz gemäss der bundesgerichtlichen Rechtsprechung nicht verpflichtet, aus sämtlichen in Frage kommenden (vergleichbaren) Arzneimitteln eine Vergleichsgruppe zu bilden (BGE 143 V 369 E. 5.3.3 [Urteil des BGer 9C_695/2016 vom 30. Oktober 2017], in Bestätigung des Urteils des BVGer C-6252/2014 vom 8. September 2016 E. 8.3). Der erwähnte Bundesgerichtsentscheid bezog sich auf das damals gültige SL-Handbuch vom 1. September 2011. Nachdem sich in der aktuellen Version vom 1. Mai 2017 in Bezug auf die vorliegend massgebende Ziff. E. 1.3 des SL-Handbuchs nichts vorliegend Entscheidendes (vgl. hierzu vorangehend E. 5.6 Abs. 2) geändert hat, kann die erwähnte Rechtsprechung des Bundesgerichts auf die vorliegende Streitfrage ohne Weiteres analog angewandt werden.</w:t>
      </w:r>
    </w:p>
    <w:p>
      <w:r>
        <w:rPr>
          <w:b/>
        </w:rPr>
        <w:t>E. 5.8</w:t>
      </w:r>
    </w:p>
    <w:p>
      <w:r>
        <w:t>Nach dem Gesagten steht für das Bundesverwaltungsgericht fest, dass die durch die Vorinstanz vorgenommene Auswahl der Vergleichspräparate für die Durchführung des TQV auf triftigen Gründen basiert. Die entsprechenden Ausführungen der Vorinstanz in ihrer Vernehmlassung, wonach die Vergleichsgruppen jeweils innerhalb der Gammen zu bilden sind, überzeugen. Insbesondere leuchtet ein, dass die Arzneimittel der Gammen K._______ sowie L._______ über eine unterschiedliche Wirkungsweise verfügen, weshalb ein Vergleich der Arzneimittel jeweils ausschliesslich innerhalb der Gamme K._______ respektive L._______ durchgeführt werden soll. Bei dem Begriff der Gamme handelt es sich darüber hinaus um einen unbestimmten Rechtsbegriff, dessen Anwendung hochstehende, spezialisierte medizinische Fachkenntnisse voraussetzt, über welche die Vorinstanz als Fachbehörde - anders als das vorliegend urteilende Gericht - verfügt (vgl. E. 5.4). Das Bundesverwaltungsgericht greift unter diesen Umständen nicht ohne Not in das (rechtsprechungsgemäss sehr weite) Ermessen der Vorinstanz bezüglich der Anwendung des Begriffs der Gamme sowie der darauf basierenden Vergleichsgruppenbildung ein, zumal die Vorinstanz für die Unterteilung der Arzneimittel in verschiedene Gammen die fachlich spezialisierten Pharmaverbände und Krankenversicherer einbezogen hat. Nachdem die Vorinstanz ferner gemäss bundesgerichtlicher Rechtsprechung nicht verpflichtet ist, sämtliche hierfür in Frage kommenden Produkte in der Vergleichsgruppenbildung zu berücksichtigen (vgl. E. 5.7) und sie unbestrittenermassen bereits zwei hierfür in Frage kommende sowie von der Beschwerdeführerin zu diesem Zweck vorgeschlagene Produkte im TQV berücksichtigt hat, ist die Verzicht auf die Berücksichtigung der Präparate E._______, F._______ und J._______ im vorliegend vom Bundesverwaltungsgericht zu überprüfenden TQV nicht zu beanstanden. Insgesamt erscheinen damit die Sachverhaltsfeststellungen der Vorinstanz, auf welchen sie die von ihr vorgenommene Vergleichsgruppenbildung abstützt, nachvollziehbar und hinreichend begründet. Die Vorinstanz hat somit den vorliegend streitigen TQV im Rahmen ihres Ermessens vorgenommen. Der Entscheid der Vorinstanz erweist sich aus denselben Gründen auch nicht als im Ergebnis unhaltbar. Die Vorinstanz hat damit mit der von ihr vorgenommenen Vergleichsgruppenbildung auch nicht willkürlich gehandelt (vgl. hierzu BGE 135 V 2 E. 1.3). Entgegen der Behauptung der Beschwerdeführerin liegen daher vorliegend weder eine Ermessensüberschreitung noch Willkür vor. Die von der Beschwerdeführerin eingereichten Studien ändern nichts an diesen Schlussfolgerungen.</w:t>
      </w:r>
    </w:p>
    <w:p>
      <w:r>
        <w:rPr>
          <w:b/>
        </w:rPr>
        <w:t>E. 6</w:t>
      </w:r>
    </w:p>
    <w:p>
      <w:r>
        <w:t>Die Beschwerdeführerin rügt in ihrer Beschwerde, die Vorinstanz habe mit der angefochtenen Verfügung eine Praxisänderung zum Nachteil der Beschwerdeführerin vorgenommen, ohne dass die Voraussetzungen für eine Praxisänderung, namentlich das Vorliegen ernsthafter und sachlicher Gründe sowie eines überwiegenden Interesses der richtigen Rechtsanwendung, erfüllt gewesen seien. Gemäss der bisherigen Praxis habe die Vorinstanz jeweils im Rahmen des TQV Arzneimittel derselben Wirkstoffklasse unabhängig ihrer galenischen Form miteinander verglichen. Entsprechend dieser bisherigen Praxis habe die Vorinstanz in ihrer Stellungnahme vom 7. Juni 2018 auch noch sämtliche der von der Beschwerdeführerin vorgeschlagenen Vergleichsprodukte (sowohl der Gamme K._______ als auch der Gamme L._______) berücksichtigt. Erst mit der zweiten Stellungnahme vom 24. August 2018 sei die Vorinstanz auf diese Einschätzung zurückgekommen. Dadurch habe die Vorinstanz den Anspruch der Beschwerdeführerin auf Gleichbehandlung sowie den Grundsatz der Rechtssicherheit verletzt.</w:t>
      </w:r>
    </w:p>
    <w:p>
      <w:r>
        <w:rPr>
          <w:b/>
        </w:rPr>
        <w:t>E. 6.1</w:t>
      </w:r>
    </w:p>
    <w:p>
      <w:r>
        <w:t>In der Vernehmlassung vom 7. März 2019 verneint die Vorinstanz das Vorliegen einer Praxisänderung. Es sei zwar richtig, dass sie früher teilweise die (...) N._______ (...) im Rahmen des TQV ohne Berücksichtigung der Gammeneinteilung geprüft habe. Ihr Vorgehen sei insbesondere im Rahmen der Überprüfung der Aufnahmebedingungen alle drei Jahre nicht einheitlich gewesen. Dass die vergleichbaren Arzneimittel zur N._______ (...) im Rahmen des TQV unterschiedlich beurteilt worden seien, habe die Vorinstanz erst im Jahr 2018, als alle N._______ (...) gleichzeitig zu prüfen gewesen seien, festgestellt. Daher habe sie entschieden, bei allen N._______ (...) den TQV einheitlich durchzuführen und die teilweise bereits angewandte Praxis, wonach neben der Wirkstoffklasse auch die galenische Form der Arzneimittel zur Auswahl der Vergleichsmittel herangezogen werde, berücksichtigt. Entsprechend habe sie mit ihrer Stellungnahme vom 24. August 2018 die erste Stellungnahme vom 7. Juni 2018, in der sie fälschlicherweise den TQV noch unter Berücksichtigung aller möglichen Vergleichspräparate durchgeführt habe, widerrufen. Bezüglich der weiteren Rügen der Beschwerdeführerin führt die Vorinstanz in ihrer Vernehmlassung aus, ihre Praxis, für den TQV lediglich Vergleichspräparate derselben Gamme zu berücksichtigen, stelle keine Verletzung des Gleichbehandlungsgebots dar, da sie diese auf alle vergleichbaren Arzneimittel gleichermassen anwende. Ebenso wenig liege eine Verletzung des Grundsatzes der Rechtssicherheit vor, da sie mit Rundschreiben vom 13. Dezember 2017 alle betroffenen Pharmaunternehmen darüber informiert habe, dass die unterschiedlichen Handelsformen eines Arzneimittels in 16 verschiedene Gammen eingeteilt worden seien und dass pro Gamme eine separate Überprüfung der Wirtschaftlichkeit durchgeführt werde. Ausserdem müsse es ihr möglich sein, im Rahmen der periodischen Prüfung die Aufnahmebedingungen neu zu evaluieren und dabei zu einem anderen Ergebnis zu kommen, sofern hierfür sachlich nachvollziehbare Gründe vorlägen. Aufgrund des im KVG vorgesehenen Kostengünstigkeitsprinzips läge ein gewichtiges Interesse öffentliches Interesse an der gesetzmässigen Durchführung des TQV und der entsprechenden Preissenkung von B._______ vor. Abgesehen von der Verhinderung eines höheren Preises seien demgegenüber keine wesentlichen Interessen der Beschwerdeführerin auszumachen. Da der Preis eines Arzneimittels der SL-Liste nicht statisch sei, habe die Beschwerdeführerin damit rechnen müssen, dass es Preisänderungen geben könne.</w:t>
      </w:r>
    </w:p>
    <w:p>
      <w:r>
        <w:rPr>
          <w:b/>
        </w:rPr>
        <w:t>E. 6.2</w:t>
      </w:r>
    </w:p>
    <w:p>
      <w:r>
        <w:t>Die Sachverhaltsdarlegung der Vorinstanz, wonach sie bis Ende Jahr 2017 den TQV bezüglich der N._______ (...) nicht einheitlich durchgeführt habe, hat die Beschwerdeführerin in ihren Eingaben ans Bundesverwaltungsgericht nicht widerlegt. Damit ist vorliegend, anders als von der Beschwerdeführerin behauptet, keine vorbestehende einheitliche Praxis der Vorinstanz auszumachen, wonach beim TQV bezüglich N._______ (...) jeweils Arzneimittel derselben Wirkstoffklasse unabhängig ihrer galenischen Form verglichen würden. Nachdem die Vorinstanz damit bis 2017 bei der Durchführung des TQV bezüglich der N._______ (...) keine einheitliche Praxis verfolgte, kann aus der nachträglichen Änderung der Vergleichsgruppenbildung mit der zweiten Stellungnahme der Vorinstanz vom 24. August 2018 auf keine Praxisänderung geschlossen werden. Damit entfällt gleichermassen das Erfordernis der Prüfung der Voraussetzungen für eine Praxisänderung durch das Bundesverwaltungsgericht. Dass die Vorinstanz im Rahmen der Überprüfung der Aufnahmebedingungen des Jahres 2018 hingegen entschieden hat, ihre bis anhin nicht einheitliche Beurteilung künftig auf dieselbe Art und Weise durchzuführen, ist im Sinne des Gleichbehandlungsgrundsatzes sowie der Rechtssicherheit zu begrüssen. Die Vorinstanz hat damit erst im Jahr 2018 eine einheitliche Praxis für die Beurteilung des TQV bezüglich N._______ (...) begründet.</w:t>
      </w:r>
    </w:p>
    <w:p>
      <w:r>
        <w:rPr>
          <w:b/>
        </w:rPr>
        <w:t>E. 6.3</w:t>
      </w:r>
    </w:p>
    <w:p>
      <w:r>
        <w:t>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m.w.H.). Darauf hinzuweisen ist, dass im Arzneimittelmarkt der OKP mit einem stark reglementierten Preismechanismus und staatlich festgelegten Preisen über den allgemeinen Gleichbehandlungsgrundsatz nach Art. 8 Abs. 1 BV hinausgehend gestützt auf den Grundsatz der Gleichbehandlung der Gewerbegenossen kein höherer staatlich fixierter Preis gefordert werden kann (vgl. Urteil des BVGer C-5818/2012 vom 1. September 2015 E. 11.5). Nachdem die Vorinstanz im Rahmen der Überprüfung der Aufnahmebedingungen des Jahres 2018 den TQV betreffend die oralen N._______ (...) in Bezug auf alle vergleichbaren Arzneimittel ausschliesslich innerhalb der dazugehörigen Gamme vorgenommen hat, ist vorliegend keine Verletzung des Gleichbehandlungsgebots auszumachen.</w:t>
      </w:r>
    </w:p>
    <w:p>
      <w:r>
        <w:rPr>
          <w:b/>
        </w:rPr>
        <w:t>E. 6.4</w:t>
      </w:r>
    </w:p>
    <w:p>
      <w:r>
        <w:t>Bezüglich der von der Beschwerdeführerin gerügten Verletzung der Rechtssicherheit ist auf Erwägung 6.3 hinzuweisen, wonach vorliegend keine Praxisänderung der Vorinstanz nachgewiesen ist. Damit kann die Beschwerdeführerin aus der von ihr behaupteten früheren Praxis der Vorinstanz nichts zu ihren Gunsten ableiten. Ausserdem hat das Bundesverwaltungsgericht in Erwägung 5.8 gewürdigt, dass die durch die Vorinstanz im Rahmen des TQV vorgenommene Auswahl der Vergleichspräparate lediglich innerhalb der Gamme L._______ vor dem Gesetz sowie der bisherigen Rechtsprechung von Bundesgericht und Bundesverwaltungsgericht Stand hält. Damit ist vorliegend ebenfalls keine Verletzung des Grundsatzes der Rechtssicherheit auszumachen.</w:t>
      </w:r>
    </w:p>
    <w:p>
      <w:r>
        <w:rPr>
          <w:b/>
        </w:rPr>
        <w:t>E. 7</w:t>
      </w:r>
    </w:p>
    <w:p>
      <w:r>
        <w:t>Abschliessend ist darauf hinzuweisen, dass die Beschwerdeführerin die Vergleichbarkeit des streitbezogenen Arzneimittels B._______ mit den beiden Produkten G._______ und H._______ nicht bestritten hat (zumal sie diese beiden Produkte in ihrer Stellungnahme vom 8. Februar 2018 selber als Vergleichsprodukte für den TQV vorgeschlagen hat). Ebenfalls nicht streitig ist vorliegend der von der Vorinstanz angewandte Senkungssatz.</w:t>
      </w:r>
    </w:p>
    <w:p>
      <w:r>
        <w:rPr>
          <w:b/>
        </w:rPr>
        <w:t>E. 8</w:t>
      </w:r>
    </w:p>
    <w:p>
      <w:r>
        <w:t>Aus dem Dargelegten folgt, dass die von der Vorinstanz durchgeführte Wirtschaftlichkeitsprüfung mittels TQV und APV rechtskonform erfolgt ist und die Vorinstanz ihr Ermessen pflichtgemäss ausgeübt hat. Es ist insbesondere nicht zu beanstanden, dass die Vorinstanz für die Durchführung des TQV lediglich die Arzneimittel der Gamme L._______, namentlich G._______ und H._______, als Vergleichsprodukte berücksichtigt hat. Damit ist die angefochtene Verfügung zu bestätigten und die Beschwerde ist abzuweisen.</w:t>
      </w:r>
    </w:p>
    <w:p>
      <w:r>
        <w:rPr>
          <w:b/>
        </w:rPr>
        <w:t>E. 9.1</w:t>
      </w:r>
    </w:p>
    <w:p>
      <w:r>
        <w:t>Dem Verfahrensausgang entsprechend sind die Verfahrenskosten der Beschwerdeführerin aufzuerlegen (Art. 63 Abs. 1 VwVG). Diese sind unter Berücksichtigung des Streitwerts sowie des Umfangs und der Schwierigkeit der Streitsache, der Art der Prozessführung und der finanziellen Lage der Parteien (vgl. Art. 63 Abs. 4bis VwVG in Verbindung mit Art. 2 Abs. 1 und Art. 4 des Reglements vom 21. Februar 2008 über die Kosten und Entschädigungen vor dem Bundesverwaltungsgericht [VGKE, SR 173.320.2]) auf Fr. 5'000.- festzusetzen. Der einbezahlte Kostenvorschuss ist zur Bezahlung der Verfahrenskosten zu verwenden.</w:t>
      </w:r>
    </w:p>
    <w:p>
      <w:r>
        <w:rPr>
          <w:b/>
        </w:rPr>
        <w:t>E. 9.2</w:t>
      </w:r>
    </w:p>
    <w:p>
      <w:r>
        <w:t>Der Beschwerdeführerin ist bei diesem Verfahrensausgang keine Parteientschädigung zuzusprechen (Art. 64 Abs. 1 VwVG). Die obsiegende Vorinstanz hat als Bundesbehörde ebenfalls keinen Anspruch auf die Zusprechung einer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