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C-6591/2012 vom 7. Oktober 2015</w:t>
      </w:r>
    </w:p>
    <w:p>
      <w:r>
        <w:t>Bundesverwaltungsgericht, 2015-10-07, DE</w:t>
      </w:r>
    </w:p>
    <w:p>
      <w:r>
        <w:rPr>
          <w:b/>
        </w:rPr>
        <w:t xml:space="preserve">Quelle: </w:t>
      </w:r>
      <w:r>
        <w:t>https://mcp.opencaselaw.ch/entscheid/bvger_C-6591_2012</w:t>
      </w:r>
    </w:p>
    <w:p>
      <w:r>
        <w:t>FR: TAF C-6591/2012 du 7 octobre 2015</w:t>
      </w:r>
    </w:p>
    <w:p>
      <w:r>
        <w:t>IT: TAF C-6591/2012 del 7 ottobre 2015</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w:t>
      </w:r>
    </w:p>
    <w:p>
      <w:r>
        <w:t>Ausgangspunkt und Anfechtungsobjekt der vorliegenden Streitigkeit bildet die Verfügung des BAG vom 5. Dezember 2012 (BAG-act. 13 sowie Beilage 2 zu BVGer act. 1). Darin wurde unter Anwendung von Art. 65d Abs. 1bis Bst. a KVV und damit unter alleiniger Anwendung des Auslandspreisvergleichs (APV) im Rahmen der Überprüfung der Aufnahmebedingungen des in der SL gelisteten Arzneimittels (Nr. Arzneimittel) B._______ (...)_______ ... mg _______, (Nr. Arzneimittel) B._______ (...)_______ ... ml ... mg/... ml, (Nr. Arzneimittel) B._______ (...)_______ ... ml ... mg/ml sowie (Nr. Arzneimittel) B._______ (...)_______ ... ml ... mg/ml per 1. Januar 2013 eine Preissenkung von 15.07 % für dieses Arzneimittel verfügt (vgl. Sachverhalt Bst. H.). Dieser Sachverhalt steht fest und ist unbestritten. Die Beschwerdeführerin beantragt hauptsächlich die Aufhebung der Verfügung vom 5. Dezember 2012 sowie die Verschiebung der dreijährlichen Überprüfung in das Jahr 2013. Streitgegenstand, der sich grundsätzlich durch den Gegenstand der angefochtenen Verfügung sowie die Parteibegehren bestimmt (BGE 133 II 35 E. 2), ist hier demnach einerseits die Preisreduktion für das Arzneimittel B._______ im Allgemeinen und andererseits das Jahr, in welchem die Überprüfung des Arzneimittels durchgeführt wurde. Da die Beschwerdeführerin im vorliegenden Beschwerdeverfahren - im Gegensatz zum vorinstanzlichen Verfahren - lediglich eine Überprüfung im Jahr 2013 beantragt, ist die Frage, ob Art. 35b Abs. 2 KLV aufgrund der im Jahre 2005 erfolgten Limitierungsänderung vorliegend anwendbar wäre, nicht Streitgegenstand des vorliegenden Verfahrens.</w:t>
      </w:r>
    </w:p>
    <w:p>
      <w:r>
        <w:rPr>
          <w:b/>
        </w:rPr>
        <w:t>E. 3.1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3.2</w:t>
      </w:r>
    </w:p>
    <w:p>
      <w:r>
        <w:t>Eine Verletzung von Bundesrecht liegt vor, wenn eine Norm fehlerhaft konkretisiert wird,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 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 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http://www.bag.admin.ch/themen/krankenversicherung/06492 /07568/?lang=de, zuletzt besucht am 23. September 2015)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den Richter nicht (vgl. BGE 122 V 249 E. 3d).</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3.4</w:t>
      </w:r>
    </w:p>
    <w:p>
      <w:r>
        <w:t>In zeitlicher Hinsicht sind grundsätzlich diejenigen materiell-rechtlichen Rechtssätze massgebend, die bei der Erfüllung des zu Rechtsfolgen führenden Sachverhalts Geltung haben (BGE 130 V 329 E. 2.3, BGE 134 V 315 E. 1.2). Massgebend sind vorliegend die im Zeitpunkt der Verfügung, also am 5. Dezember 2012 geltenden materiellen Bestimmungen. Dazu gehören einerseits namentlich das KVG in der nach Inkrafttreten der Änderung vom 16. Juli 2012 (AS 2012 3745; BBl 2007 5037, 2010 7841) geltenden Fassung, die KVV in der nach Inkrafttreten der Änderung vom 1. Mai 2012 geltenden Fassung (AS 2012 1767) und die KLV in der nach Inkrafttreten der Änderung vom 1. September 2012 geltenden Fassung (AS 2012 4347).</w:t>
      </w:r>
    </w:p>
    <w:p>
      <w:r>
        <w:rPr>
          <w:b/>
        </w:rPr>
        <w:t>E. 4</w:t>
      </w:r>
    </w:p>
    <w:p>
      <w:r>
        <w:t>Die Zulassungsinhaberin muss dem BAG bis zum 31. Mai des Überprüfungsjahres folgende Unterlagen einreichen: a. die von einer zeichnungsberechtigten Person der zuständigen Auslandsvertretung der Zulassungsinhaberin bestätigten, am 1. April des Überprüfungsjahres geltenden Fabrikabgabepreise aller Vergleichsländer nach Artikel 35 Absatz 2; b. bei der erstmaligen Überprüfung die Anzahl der seit der Aufnahme in die Spezialitätenliste verkauften Packungen des Originalpräparates in der Schweiz, für sämtliche Handelsformen einzeln ausgewiesen; c. aktualisierte Daten mit Angabe der gegenüber der vorausgegangenen Überprüfung veränderten Informationen zum Arzneimittel.</w:t>
      </w:r>
    </w:p>
    <w:p>
      <w:r>
        <w:rPr>
          <w:b/>
        </w:rPr>
        <w:t>E. 4.1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oder unter den vom Bundesrat bestimmten Voraussetzungen von Chiropraktoren oder Chiropraktorinnen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andererseits aber auch bei der Behandlung im Rahmen einer Diagnose oder Behandlung im Einzelfall gegeben sein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4.2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w:t>
      </w:r>
    </w:p>
    <w:p>
      <w:r>
        <w:rPr>
          <w:b/>
        </w:rPr>
        <w:t>E. 4.3</w:t>
      </w:r>
    </w:p>
    <w:p>
      <w:r>
        <w:t>Gemäss Art. 52 Abs. 1 Bst. b KVG erstellt das Bundesamt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Fabrikabgabepreis (FAP; vgl. SL-Handbuch Ziff. C.1.1.4 i.V.m. Art. 64 KVV).</w:t>
      </w:r>
    </w:p>
    <w:p>
      <w:r>
        <w:rPr>
          <w:b/>
        </w:rPr>
        <w:t>E. 4.3.1</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in: Soziale Sicherheit, Schweizerisches Bundesverwaltungsrecht, Ulrich Meyer/Heinrich Koller/Georg Müller/Thierry Tanquerel/Ulrich Zimmerli [Hrsg.], 2. Aufl. 2007 [nachfolgend: SBVR Eugster], Rz. 587, 591).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532 E. 3.3.1).</w:t>
      </w:r>
    </w:p>
    <w:p>
      <w:r>
        <w:rPr>
          <w:b/>
        </w:rPr>
        <w:t>E. 4.3.2</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(vgl. BVGE 2010/22 E. 5.3.1 f. m.w.H.). Als Darreichungsform bezeichnet man hingegen die Zubereitung, mit der ein Wirkstoff appliziert wird (z.B. Filmtablette, Gel, Sirup), auch "galenische Form eines Arzneimittels" genannt. Weiter ist festzuhalten, dass die Begriffe "Dosisstärke" und "Dosierung" nicht eindeutig definiert sind und auch von den Parteien (und dem Verordnungsgeber, z.B. in den Übergangsbestimmungen) nicht einheitlich verwendet werden. Vorliegend soll mit dem Begriff der "Dosisstärke" die Wirkstoffmenge bezeichnet werden, die mit einer Einheit einer galenischen Form (beispielsweise einer Tablette) verabreicht wird. Demgegenüber meint "Dosierung" die Menge eines Wirkstoffes, die bei einer bestimmten Indikation gemäss der durch das Institut zu bewilligenden Arzneimittelinformation zu verabreichen ist, was vorliegend nicht Thema ist (vgl. dazu BVGE 2010/22 E. 5.3.1 m.w.H.). 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Sinne wird der Begriff auch im Zusammenhang mit rechtlichen Fragen der Spezialitätenliste gebraucht. Dabei werden unter einer Gamme insbesondere die verschiedenen auf der SL aufgeführten Dosisstärken und Packungsgrössen ein und desselben Arzneimittels verstanden (vgl. BVGE 2010/22 E. 5.3.1 f. m.w.H.).</w:t>
      </w:r>
    </w:p>
    <w:p>
      <w:r>
        <w:rPr>
          <w:b/>
        </w:rPr>
        <w:t>E. 4.4</w:t>
      </w:r>
    </w:p>
    <w:p>
      <w:r>
        <w:t>Art. 32 Abs. 1 KVG postuliert als Voraussetzung für die Kostenübernahme unter anderem den Grundsatz der wirtschaftlichen Leistungserbringung. Die Wirtschaftlichkeit der Leistungserbringung wird dabei periodisch überprüft (Art. 32 Abs. 2 KVG).</w:t>
      </w:r>
    </w:p>
    <w:p>
      <w:r>
        <w:rPr>
          <w:b/>
        </w:rPr>
        <w:t>E. 4.5</w:t>
      </w:r>
    </w:p>
    <w:p>
      <w:r>
        <w:t>Art. 65b KVV in der ab 1. Oktober 2009 geltenden Fassung (AS 2009 4245) regelt im 4. Abschnitt "Spezialitätenliste" die Beurteilung der Wirtschaftlichkeit von Arzneimitteln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Auslandspreisvergleich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4.5.1</w:t>
      </w:r>
    </w:p>
    <w:p>
      <w:r>
        <w:t>Gemäss Art. 34 Abs. 2 KLV (in der seit 1. Juli 2002 geltenden Fassung; AS 2002 3013) werden für die Beurteilung der Wirtschaftlichkeit eines Arzneimittels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berücksichtigt. Zudem wird bei einem Arzneimittel im Sinne von Artikel 31 Absatz 2 Buchstaben a und b ein Innovationszuschlag für die Dauer von höchstens 15 Jahren berücksichtigt; in diesem Zuschlag sind die Kosten für Forschung und Entwicklung angemessen zu berücksichtigen (Bst. d).</w:t>
      </w:r>
    </w:p>
    <w:p>
      <w:r>
        <w:rPr>
          <w:b/>
        </w:rPr>
        <w:t>E. 4.5.2</w:t>
      </w:r>
    </w:p>
    <w:p>
      <w:r>
        <w:t>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4.6</w:t>
      </w:r>
    </w:p>
    <w:p>
      <w:r>
        <w:t>Die im Rahmen der Aufnahme eines Arzneimittels in die Spezialitätenlisten gestellten Anforderungen müssen während der gesamten Verweildauer des Arzneimittels auf der Spezialitätenliste erfüllt sein. Die Modalitäten im Zusammenhang mit der Überprüfung alle drei Jahre werden in Art. 65d KVV (in der seit 1. Mai 2012 geltenden Fassung; AS 2012 1767) geregelt. Diese Bestimmung unter dem Titel "Überprüfung der Aufnahmebedingungen alle drei Jahre" lautet wie folgt: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der Vergleich mit der Preisgestaltung im Ausland nicht möglich ist. 1ter Das Departement kann beim Auslandspreisvergleich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3 Die Inhaberinnen der Zulassungen haben dem BAG alle notwendigen Unterlagen zuzustellen. Das Departement erlässt zum Verfahren der Überprüfung nähere Vorschriften."</w:t>
      </w:r>
    </w:p>
    <w:p>
      <w:r>
        <w:rPr>
          <w:b/>
        </w:rPr>
        <w:t>E. 4.7</w:t>
      </w:r>
    </w:p>
    <w:p>
      <w:r>
        <w:t>Die Modalitäten der dreijährlichen Überprüfung werden in Art. 35b KLV (Sachüberschrift "Überprüfung der Aufnahmebedingungen alle drei Jahre") in der seit 1. August 2010 geltenden Fassung (AS 2010 3249) wie folgt geregelt: "1 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 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 Massgebend für die Überprüfung ist das Aufnahmedatum der ersten Handelsform eines Wirkstoffes, der in dem Originalpräparat enthalten ist.</w:t>
      </w:r>
    </w:p>
    <w:p>
      <w:r>
        <w:rPr>
          <w:b/>
        </w:rPr>
        <w:t>E. 5</w:t>
      </w:r>
    </w:p>
    <w:p>
      <w:r>
        <w:t>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5.1</w:t>
      </w:r>
    </w:p>
    <w:p>
      <w:r>
        <w:t>Die Beschwerdeführerin machte mit Beschwerde vom 19. Dezember 2012 zunächst noch geltend, dass die dreijährliche Preisüberprüfung ohne Einbindung des TQV gegen die Prinzipien des KVG verstossen würde (vgl. Ziffer 6.2.9 der Beschwerde, BVGer act. 1). Mit Eingabe vom 28. Juni 2013 (BVGer act. 18) teilte sie dem Bundesverwaltungsgericht jedoch mit, dass diese Argumente in Anerkennung der Übereinkunft zwischen der Pharmaindustrie und dem Eidgenössischen Departement des Innern betreffend die Grundlagen der dreijährlichen Überprüfung der SL-Aufnahme­bedingungen für die Beschwerde unbeachtet bleiben sollen. Dies hindert das Gericht jedoch nicht daran, diese Frage dennoch zu überprüfen. Zudem ist es nicht an Abmachungen zwischen dem BAG und der Beschwerdeführerin gebunden (vgl. E. 3.3 hiervor).</w:t>
      </w:r>
    </w:p>
    <w:p>
      <w:r>
        <w:rPr>
          <w:b/>
        </w:rPr>
        <w:t>E. 5.2</w:t>
      </w:r>
    </w:p>
    <w:p>
      <w:r>
        <w:t>Das Bundesverwaltungsgericht hat in seinem Grundsatzurteil C-5912/2013 vom 30. April 2015 (zur Publikation vorgesehen) in E. 8 festgehalten, dass nach dem Willen des Gesetzgebers und der konstanten Praxis des Bundesgerichts bei der dreijährlichen Überprüfung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w:t>
      </w:r>
    </w:p>
    <w:p>
      <w:r>
        <w:rPr>
          <w:b/>
        </w:rPr>
        <w:t>E. 5.3</w:t>
      </w:r>
    </w:p>
    <w:p>
      <w:r>
        <w:t>Mit Blick auf das dargelegte Grundsatzurteil steht als Zwischenergebnis fest, dass die von der Vorinstanz im Rahmen der dreijährlichen Prüfung allein gestützt auf den APV verfügte Preissenkung nicht auf einer ausreichenden Rechtsgrundlage beruht, was zur Aufhebung der angefochtenen Verfügung vom 5. Dezember 2012 führt. Die Streitsache ist demnach an die Vorinstanz zur Vornahme einer neuen, umfassenden Wirtschaftlichkeitsprüfung im Sinne der vorstehenden E. 5.2 zurückzuweisen, zumal vorliegend ein therapeutischer Quervergleich ohne Zweifel möglich ist. Nebst dem im vorliegenden Beschwerdeverfahren mehrfach genannten Konkurrenzprodukt C._______ werden von der Beschwerdeführerin im Preiserhöhungsgesuch vom 20. März 2012 auch die Arzneimittel D._______ und E._______ - zumindest für die Behandlung der rheumatoiden Arthritis - als Vergleichsarzneimittel genannt (vgl. BAG-act. 1).</w:t>
      </w:r>
    </w:p>
    <w:p>
      <w:r>
        <w:rPr>
          <w:b/>
        </w:rPr>
        <w:t>E. 6</w:t>
      </w:r>
    </w:p>
    <w:p>
      <w:r>
        <w:t>Im Weiteren ist zu prüfen, ob die Vorinstanz die Überprüfung der SL-Aufnahmebedingungen zu Recht im Jahre 2012 durchgeführt hat oder ob B._______ erst im Jahre 2013 hätte überprüft werden dürfen. Nicht zu prüfen ist die noch im vorinstanzlichen Verfahren diskutierte Frage, ob die im Jahre 2005 erfolgte Indikationsänderung eine Änderung des Überprüfungsrhythmus bewirkt hat, da diese nicht vom Streitgegenstand umfasst wird (vgl. E. 2 hiervor). Diesbezügliche Ausführungen der Verfahrensbeteiligten sind daher vorliegend unbeachtlich.</w:t>
      </w:r>
    </w:p>
    <w:p>
      <w:r>
        <w:rPr>
          <w:b/>
        </w:rPr>
        <w:t>E. 6.1</w:t>
      </w:r>
    </w:p>
    <w:p>
      <w:r>
        <w:t>Die Beschwerdeführerin macht geltend, dass die im Jahre 2010 erfolgte Aufnahme einer neuen galenischen Form mit neuer Swissmedic-Nummer zu einer Wirtschaftlichkeitsprüfung geführt habe, die sowohl die bisherige Gamme als auch den neuen APV berücksichtigt habe. Demnach sei insbesondere B._______ im Jahre 2010 der gleichen Preisüberprüfung unterzogen worden wie das Konkurrenzprodukt C._______, welches im selben Jahr eine Limiterungsänderung erfahren habe. Es bestehe kein Anlass, Art. 35b Abs. 2 KLV nicht auf diesen Sachverhalt anzuwenden. Art. 35b Abs. 2 KLV sei so zu interpretieren, dass der Überprüfungsrhythmus nicht nur bei einer Überprüfung aufgrund einer Indikations- oder Limitierungsänderung neu zu laufen beginne. Diese Norm dürfe nicht strikte nach ihrem Wortlaut ausgelegt werden. Es liege eine echte Gesetzeslücke vor, die vom Bundesverwaltungsgericht zu schliessen sei (vgl. BVGer act. 1 Ziff. 6.2.6 und BVGer act. 21 Ziff. 3.6).</w:t>
      </w:r>
    </w:p>
    <w:p>
      <w:r>
        <w:rPr>
          <w:b/>
        </w:rPr>
        <w:t>E. 6.2</w:t>
      </w:r>
    </w:p>
    <w:p>
      <w:r>
        <w:t>Demgegenüber führt das BAG aus, dass weder eine echte noch eine unechte Lücke bestehe. Art. 35b Abs. 2 KLV sei in seinem Wortlaut klar. Die Norm sehe einzig bei einer Überprüfung aufgrund einer Indikations- oder Limitierungsänderung vor, dass der Überprüfungsrhythmus bei der dreijährlichen Überprüfung neu zu laufen beginne. In diesen Fällen würden sämtliche Handelsformen und Dosierungen der Arzneimittel preislich überprüft. Wie dem Bulletin vom (...) 2010 Nr. (...) entnommen werden könne, sei das Konkurrenzprodukt C._______ aufgrund einer Limitierungsänderung umfassend hinsichtlich der WZW-Kriterien überprüft worden. Daher seien auch die Anforderungen an Art. 35b Abs. 2 KLV erfüllt gewesen. Bei einem Gesuch um Aufnahme anderer Packungsgrössen und Dosisstärken (APD) werde hingegen lediglich die neue Packung oder Dosierung auf ihre Wirtschaftlichkeit hin überprüft. Es werde geprüft, ob diese dem APV entspreche und die Preisrelationen innerhalb der Gamme eingehalten würden. Dasselbe gelte für die SL-Aufnahme einer neuen Applikationsform eines Arzneimittels wie im Fall von B._______. B._______ (...)_______ sei im Jahr 2010 nach durchgeführtem APV und TQV für diese neue Form zum gleichen FAP wie B._______ in die SL aufgenommen worden. Der FAP habe unter dem APV-Niveau gelegen. Die Beschwerdeführerin habe damals auch keinen APV für die restlichen Formen von B._______ eingereicht, weshalb das BAG diese hinsichtlich ihrer Wirtschaftlichkeit auch nicht habe überprüfen können (vgl. BVGer act. 16 Ziff. 3.6 ff.).</w:t>
      </w:r>
    </w:p>
    <w:p>
      <w:r>
        <w:rPr>
          <w:b/>
        </w:rPr>
        <w:t>E. 6.3</w:t>
      </w:r>
    </w:p>
    <w:p>
      <w:r>
        <w:t>Dem Begriff nach besteht eine Gesetzeslücke, wenn eine Rechtsfrage, die der Einzelfall aufgibt, gesetzlich nicht geregelt, das Gesetz also unvollständig ist (BGE 134 V 182 E. 4.1 und BGE 125 V 8 E. 3). Gemäss einer neueren Auffassung der Methodenlehre wird auf die Unterscheidung zwischen echten und unechten Lücken verzichtet und stattdessen die Lücke als eine planwidrige Unvollständigkeit des Gesetzes bezeichnet, die von den rechtsanwendenden Organen behoben werden darf (Ulrich Häfelin/Walter Haller/Helen Keller, Schweizerisches Bundesstaatsrecht, 8. Aufl., Zürich/Basel/Genf 2012, Rz. 139 ff.). Auch die bundesgerichtliche Rechtsprechung hat sich zum Lückenbegriff mehr und mehr von der klassischen Unterscheidung in echte und unechte Lücken entfernt und sich der Konzeption der Lücke als planwidrige Unvollständigkeit des Gesetzes angenähert (vgl. z.B. BGE 131 V 233 E. 4.1; 129 II 438 E. 4.1.2; Ulrich Häfelin/Georg Müller/Felix Uhlmann, Allgemeines Verwaltungsreicht, 6. Aufl., Zürich/St. Gallen 2010, Rz. 246). Zuweilen wird aber immer noch zwischen echten und unechten Lücken unterschieden (vgl. BGE 135 II 1 E. 3.5; Ulrich Häfelin/Georg Müller/Felix Uhlmann, a.a.O., Rz. 246; vgl. auch Pierre Tschannen/Urlich Zimmerli/Markus Müller, Allgemeines Verwaltungsrecht, 4. Aufl., Bern 2014, § 25 Rz. 11). Einigkeit besteht in der Literatur und Rechtsprechung darüber, dass die rechtsanwendende Behörde eine Lücke, die nicht bereits durch Gewohnheitsrecht geschlossen wurde, in freier Rechtsfindung schliessen kann. Sie hat dabei von den dem Erlass zugrunde liegenden Wertungen und Zielsetzungen auszugehen und nach der Regel zu entscheiden, die sie als Gesetzgeberin aufstellen würde (vgl. Art. 1 Abs. 2 des Schweizerischen Zivilgesetzbuchs vom 10. Dezember 1907 [ZGB, SR 210]). Dieses Verfahren steht damit der teleologischen Auslegung, die der Ermittlung des Sinnes und des Zwecks einer Gesetzesbestimmung dient, sehr nahe. Um Sinn und Zweck zu ermitteln, muss nach den Interessen gefragt werden, die der Gesetzgeber zu berücksichtigen hatte. Oft wird bei der Lückenfüllung auch auf gesetzliche Regelungen ähnlicher Fragen zurückgegriffen (Ulrich Häfelin/Walter Haller/Helen Keller, a.a.O., Rz. 147). Ein qualifiziertes Schweigen liegt vor, wenn die Auslegung des Gesetzes ergibt, dass der Gesetzgeber eine Rechtsfrage nicht bewusst oder unbewusst offen gelassen hat, sondern sie durch bewusstes Schweigen in negativem Sinn entscheiden wollte (vgl. BGE 115 II 97 E. 2b). Bereits aufgrund des aus dem Gesetzmässigkeitsprinzip fliessenden Erfordernis des Rechtssatzes, wonach die Staatstätigkeit nur aufgrund und nach Mass­gabe von generell-abstrakten Rechtsnormen ausgeübt werden darf, die genügend bestimmt sind (Ulrich Häfelin/Georg Müller/Felix Uhlmann, a.a.O., Rz. 381 ff.), darf im Verwaltungsrecht nur zurückhaltend von einem qualifi­zierten Schweigen ausgegangen werden. Solange keine Anhaltspunkte für ein solches Schweigen vorliegen, ist beim Fehlen einer ausdrücklichen Regelung grundsätzlich davon auszugehen, dass der Gesetzgeber kei­ne negative Entscheidung getroffen hat (René A. Rhinow/Beat Krähenmann, Schweizerische Verwaltungsrechtsprechung, Ergänzungsband, Basel 1990, Nr. 23 S. 74 mit Hinweisen).</w:t>
      </w:r>
    </w:p>
    <w:p>
      <w:r>
        <w:rPr>
          <w:b/>
        </w:rPr>
        <w:t>E. 6.3.1</w:t>
      </w:r>
    </w:p>
    <w:p>
      <w:r>
        <w:t>Wie bereits erwähnt, werden die Modalitäten der in Art. 65d KVV vorgesehenen dreijährlichen Überprüfung in der Ausführungsbestimmung von Art. 35b KLV näher geregelt, wobei im vorliegenden Fall die Fassung vom 1. August 2010 (AS 2010 3249) massgebend ist (vgl. E. 4.7 hiervor). Art. 35b Abs. 1 KLV sieht vor, dass das BAG die FAP derjenigen Originalpräparate nach Art. 65d Abs. 1 KVV überprüft, die in absteigender Reihenfolge bis zum Jahr 1955 im Abstand von drei Jahren in die Spezialitätenliste aufgenommen wurden. Nach Abs. 1 der Übergangsbestimmungen zur KLV-Änderung vom 30. Juni 2010 bildet das Jahr 2012 das erste Überprüfungsjahr dieser am 1. August 2010 in Kraft getretenen Regelung.</w:t>
      </w:r>
    </w:p>
    <w:p>
      <w:r>
        <w:rPr>
          <w:b/>
        </w:rPr>
        <w:t>E. 6.3.1.1</w:t>
      </w:r>
    </w:p>
    <w:p>
      <w:r>
        <w:t>Mit Art. 35b Abs. 2 KLV folgt systematisch auf Abs. 1 derselben Norm ein Ausnahmetatbestand. Nach dessen Wortlaut führt eine ausserordentliche Überprüfung der Aufnahmebedingungen aufgrund einer Indikationserweiterung gemäss Art. 66 KVV oder aufgrund einer Änderung oder Aufhebung einer Limitierung gemäss Art. 66a KVV (in der Fassung vom 26. April 2006 [AS 2006 1717]) zu einer Änderung des Überprüfungsrhythmus. Art. 66 und 66a KVV in der vorliegend massgebenden Fassung vom 26. April 2006 (AS 2006 1717) lauten wie folgt: "Art. 66 Indikationserweiterung 1 Lässt das Institut für ein Originalpräparat, das ohne Limitierung in der Spezialitätenliste aufgenommen ist, eine neue Indikation zu, so überprüft das BAG das Originalpräparat erneut daraufhin, ob die Aufnahmebedingungen erfüllt sind. 2 [...] Art. 66a Limitierungsänderung 1 Stellt die Zulassungsinhaberin für ein Arzneimittel der Spezialitätenliste ein Gesuch um Änderung oder Aufhebung einer Limitierung, so überprüft das BAG die Wirksamkeit, Zweckmässigkeit und Wirtschaftlichkeit des Arzneimittels. 2 ...</w:t>
      </w:r>
    </w:p>
    <w:p>
      <w:r>
        <w:rPr>
          <w:b/>
        </w:rPr>
        <w:t>E. 6.3.1.2</w:t>
      </w:r>
    </w:p>
    <w:p>
      <w:r>
        <w:t>Mit Art. 66 und 66a KVV wurde die Praxis des Eidgenössichen Versicherungsgerichts kodifiziert, wonach eine Indikationserweiterung oder eine Änderung der Limitierung grundsätzlich eine neue Wirtschaftlichkeitsprüfung für ein Präparat erfordert, weil davon auszugehen ist, dass sie sich auf den Umsatz der betreffenden Herstellerfirma auswirkt (vgl. Urteil des Eidgenössischen Versicherungsgerichts [EVG; heute: BGer] K 77/87 vom 15. August 1988; vgl. im Weiteren BGE 127 V 275 E. 3b; vgl. zudem Kommentar zur Änderung der KVV vom Mai 2006, abrufbar unter www.bag.admin.ch &gt; Themen &gt; Krankenversicherung &gt; Revisionen der Krankenversicherung &gt; Abgeschlossene Revisionen &gt; Sammlung der Inhalte und Kommentare, zuletzt besucht am 23. September 2015).</w:t>
      </w:r>
    </w:p>
    <w:p>
      <w:r>
        <w:rPr>
          <w:b/>
        </w:rPr>
        <w:t>E. 6.3.2</w:t>
      </w:r>
    </w:p>
    <w:p>
      <w:r>
        <w:t>Mit anderen Worten hat bei einer Indikationserweiterung oder einer Änderung der Limitierung - wie von der Vorinstanz zu Recht festgehalten - eine umfassende Wirtschaftlichkeitsprüfung sämtlicher Handelsformen und Dosierungen stattzufinden. Dies wird durch die Ausführungsbestimmungen Art. 37b und 37d Abs. 1 KLV verdeutlicht. Nach Art. 37b KLV sind die Unterlagen gemäss Art. 30a Abs. 1 Bst. a-f und Abs. 2 (Aufnahmegesuch) einzureichen. Demnach werden mit Ausnahme der Erklärung der Gesuchstellerin, wonach sie sich verpflichtet, allfällige Mehreinnahmen nach Art. 67 Abs. 2ter KVV an die gemeinsame Einrichtung zu bezahlen (Abs. 1 Bst. g), dieselben Unterlagen verlangt, die auch bei einem Aufnahmegesuch einzureichen sind. Art. 37d Abs. 1 KLV hält überdies fest, dass die Überprüfungen nach den Artikeln 37-37c KLV alle Packungsgrössen, Dosierungen und galenischen Formen des Originalpräparates umfassen (vgl. dazu auch das SL-Handbuch Ziff. B.8, B.9 sowie H). Sinn und Zweck von Art. 35b Abs. 2 KLV in der vorliegend anwendbaren Fassung (vgl. E. 4.7 hiervor) ist demnach, dass ein Arzneimittel, welches aufgrund einer Indikationserweiterung oder einer Limitierungsänderung umfassend überprüft wurde, im Extremfall nicht bereits wieder nach einem Jahr überprüft werden soll.</w:t>
      </w:r>
    </w:p>
    <w:p>
      <w:r>
        <w:rPr>
          <w:b/>
        </w:rPr>
        <w:t>E. 6.3.3</w:t>
      </w:r>
    </w:p>
    <w:p>
      <w:r>
        <w:t>Dies trifft jedoch nicht auf den Fall zu, in welchem - wie vorliegend - eine neue Handelsform in die SL aufgenommen wird. Wie die Vorinstanz zu Recht festgehalten hat, wird bei Aufnahme einer neuen galenischen Form lediglich geprüft, ob diese wirtschaftlich ist, sprich ob sie dem APV entspricht und ob die Preisrelationen innerhalb der Gamme eingehalten werden (vgl. noch unter Geltung des KUVG Urteil des BGer K 39/99 vom 14. Mai 2001 E. 4a/bb; vgl. auch SL-Handbuch Ziff. B.5 und C.6). Im Gegensatz zur Konkurrentin, welche 2010 aufgrund der Limitierungsänderung von C._______ für die gesamte Gamme die Daten für den APV eingeben musste (vgl. Beilage 2 zu BVGer act. 25 sowie SL-Handbuch Ziff. B.8.3 Bst. f und B.9.2 Bst. g), musste die Beschwerdeführerin lediglich für die neue Applikationsform B._______ (...)_______ einen APV einreichen. Belegt wird dies durch die beiden Verfügungen vom (...) 2010 (B._______ (...)_______, Beilage 3 zu BVGer act. 21) und vom (...) 2010 (C._______, Beilage 4 zu BVGer act. 21). In der Aufnahmeverfügung betreffend B._______ (...)_______ wird im Betreff denn auch lediglich die neue Handelsform erwähnt, währenddessen in der Verfügung betreffend die Limitierungsänderung von C._______ die gesamte Gamme erwähnt wird (vgl. Beilagen 3 und 4 zu BVGer act. 21). Nach dem Gesagten ist daher nicht ersichtlich, dass bei Art. 35b Abs. 2 KLV in der vorliegend anwendbaren Fassung eine Lücke bestehen soll, ist doch der Gehalt der Überprüfung bei der Aufnahme einer neuen galenischen Form entgegen der Behauptung der Beschwerdeführerin nicht gleich umfassend wie bei Indikationserweiterungen oder Limitierungsänderungen. Die Beschwerdeführerin kann demnach aus Art. 35b Abs. 2 KLV nichts zu ihren Gunsten ableiten, insbesondere nicht, dass die dreijährliche Überprüfung von B._______ erst im Jahr 2013 zu erfolgen hat. Indem unbestritten ist, dass die erste Handelsform von B._______ im Jahr 2000 in die SL-Liste aufgenommen wurde, hat die Vorinstanz zu Recht im Jahr 2012 eine Überprüfung vorgenommen.</w:t>
      </w:r>
    </w:p>
    <w:p>
      <w:r>
        <w:rPr>
          <w:b/>
        </w:rPr>
        <w:t>E. 7</w:t>
      </w:r>
    </w:p>
    <w:p>
      <w:r>
        <w:t>Die Beschwerdeführerin macht darüber hinaus geltend, dass die Vorinstanz mit Aufnahmeverfügung betreffend B._______ (...)_______ vom (...) 2010 (vgl. Beilage 3 zu BVGer act. 21) selbst davon ausgegangen sei, die dreijährliche Überprüfung der Aufnahmebedingungen habe erst im Jahr 2013 zu erfolgen. Demnach macht sie sinngemäss einen Verstoss gegen den Grundsatz von Treu und Glauben geltend.</w:t>
      </w:r>
    </w:p>
    <w:p>
      <w:r>
        <w:rPr>
          <w:b/>
        </w:rPr>
        <w:t>E. 7.1</w:t>
      </w:r>
    </w:p>
    <w:p>
      <w:r>
        <w:t>Der Anspruch auf Behandlung nach Treu und Glauben umfasst einerseits den Vertrauensschutz und andererseits das Verbot des Rechtsmissbrauchs (vgl. Christoph Rohner, in: Bernhard Ehrenzeller/Philippe Mastronardi/Rainer J. Schweizer/Klaus A. Vallender, Die schweizerische Bundesverfassung - Kommentar, Zürich 2002, N. 45 zu Art. 9). Der Vertrauensschutz wurde vormals aus Art. 4 der Bundesverfassung der Schweizerischen Eidgenossenschaft vom 29. Mai 1874 (aBV) abgeleitet und ist nunmehr in seiner spezifisch grundrechtlichen Ausprägung in Art. 9 BV verankert (vgl. Botschaft des Bundesrates über eine neue Bundesverfassung vom 20. November 1996, BBl 1997 I 134). Wie das Bundesgericht konkretisiert hat, verleiht der in Art. 9 BV enthaltene Grundsatz von Treu und Glauben Anspruch auf Schutz des berechtigten Vertrauens in behördliche Zusicherungen oder sonstiges, bestimmte Erwartungen begründendes Verhalten der Behörden (BGE 126 II 377 E. 3a S. 387; 122 II 113 E. 3b/cc S. 123, je mit Hinweisen). Das Rechtsmissbrauchsverbot hängt dagegen näher mit der behördlichen Pflicht zu einem Verhalten nach Treu und Glauben im Allgemeinen (Art. 5 Abs. 3 BV) zusammen (vgl. Christoph Rohner, a.a.O., N. 57 zu Art. 9 BV; Beatrice Weber-Dürler, Neuere Entwicklung des Vertrauensschutzes, in: ZBl 103/2002 S. 282 f.). Der Vertrauensschutz setzt in erster Linie eine Vertrauensgrundlage voraus, welche grundsätzlich in jedem amtlichen Anlass, jeder Äusserung einer Behörde bestehen kann - wobei es sich in der Regel um eine unrichtige Auskunft handelt, die beim Rechtsadressaten berechtigtes Vertrauen erzeugt hat und an die sich die Verwaltung zum Nachteil des Rechtsadressaten nicht mehr halten will (vgl. zum Ganzen Elisabeth Chiariello, Treu und Glauben als Grundrecht nach Art. 9 der Schweizerischen Bundesverfassung, Bern 2004, S. 42 ff.). Zudem müssen verschiedene Voraussetzungen kumulativ erfüllt sein, damit sich der Private mit Erfolg auf Treu und Glauben berufen kann: So ist eine unrichtige Auskunft nur bindend, wenn die Verwaltungsbehörde in einer konkreten Situation mit Bezug auf bestimmte Personen gehandelt hat, wenn sie dabei für die Erteilung der Auskunft zuständig war, wenn der Private die Unrichtigkeit der Auskunft nicht ohne weiteres erkennen konnte, wenn sich seit der Auskunftserteilung die Rechts- und Sachlage nicht in relevanter Weise verändert hat und wenn zudem der Private im Vertrauen auf die Richtigkeit der Auskunft Dispositionen getroffen hat, die nicht ohne Nachteil rückgängig gemacht werden können. Selbst dann, wenn diese Voraussetzungen allesamt erfüllt sind, ist das Interesse an der Durchsetzung des geltenden Rechts dem Interesse am Vertrauensschutz gegenüberzustellen. Überwiegt das Interesse an der Anwendung des geltenden Rechts, muss sich derjenige, der sich auf den Vertrauensschutz beruft, der richtigen Anwendung des geltenden Rechts unterziehen (vgl. BGE 126 II 377 E. 3a, BGE 122 II 113 E. 3b/cc; zu den Voraussetzungen im Einzelnen BGE 118 Ia 245 E. 4b mit Hinweisen).</w:t>
      </w:r>
    </w:p>
    <w:p>
      <w:r>
        <w:rPr>
          <w:b/>
        </w:rPr>
        <w:t>E. 7.2</w:t>
      </w:r>
    </w:p>
    <w:p>
      <w:r>
        <w:t>Es ist bereits fraglich, ob vorliegend die Voraussetzungen des Vertrauensschutzes erfüllt sind, hatte die Beschwerdeführerin doch im April 2012 die Gelegenheit, sich zum Überprüfungsrhythmus ihrer Präparate zu äussern. Dies geht eindeutig aus der E-Mail-Korrespondenz vom 11. April 2012 zwischen ihr und dem BAG hervor. Von dieser Möglichkeit machte sie denn auch Gebrauch und beanstandete bei fünf Produkten die Überprüfungsjahre. Hinsichtlich des Überprüfungsjahres für B._______ hatte sie jedoch nichts beanstandet. Hinzu kommt, dass sie für B._______ aufforderungsgemäss die entsprechenden Eingaben in die Internet-Applikation getätigt und im Kommentar lediglich auf das Koordinationsgebot mit dem PEG hingewiesen hat (vgl. BAG-act.14 [in der Beilage zu BVGer act. 16] sowie Beilage 2 zu BVGer act. 16). Der Hinweis auf das Koordinationsgebot mit dem PEG deutet entsprechend darauf hin, dass sich die Beschwerdeführerin darüber im Klaren war, dass die dreijährliche Überprüfung der Aufnahmebedingungen von B._______ im Jahr 2012 zu erfolgen hat. Ansonsten hätte sie bereits anlässlich des E-Mail-Verkehrs vom 11. April 2012 reagiert. Dass die Eingabe - wie von der Beschwerdeführerin behauptet - nur unter Vorbehalt erfolgt sei, lässt sich den Akten nicht entnehmen. Doch selbst wenn die Voraussetzungen des Vertrauensschutzes erfüllt wären, ist der Vorinstanz darin beizupflichten, dass vorliegend das Interesse an der Gesetzmässigkeit einem allfälligen Vertrauensschutz der Beschwerdeführerin vorgehen muss, wiegt doch das Interesse der Öffentlichkeit an der Anwendung des geltenden Rechts im Rahmen der Preisüberprüfung der Medikamente schwerer. Die Vorinstanz hat demnach B._______ zu Recht bereits im Jahr 2012 einer Überprüfung unterzogen.</w:t>
      </w:r>
    </w:p>
    <w:p>
      <w:r>
        <w:rPr>
          <w:b/>
        </w:rPr>
        <w:t>E. 7.3</w:t>
      </w:r>
    </w:p>
    <w:p>
      <w:r>
        <w:t>Aufgrund des Dargelegten kann offenbleiben, ob die Verfügung vom 5. Dezember 2012 gegen die Wirtschaftsfreiheit verstösst, ist sie ohnehin aufzuheben und die Sache zur erneuten Überprüfung im Sinne der Erwägungen an die Vorinstanz zurückzuweisen. Ebenso offenbleiben kann die Frage, ob die dreijährliche Überprüfung und das PEG zu koordinieren seien, wurde doch das Neuüberprüfungsgesuch zum PEG zwischenzeitlich abgewiesen und es ist aufgrund der replicando gemachten Ausführungen der Beschwerdeführerin vom 10. September 2013 unklar, ob sie erneut ein PEG gestellt hat (vgl. BVGer act. 21 Ziff. 3.3 N 24).</w:t>
      </w:r>
    </w:p>
    <w:p>
      <w:r>
        <w:rPr>
          <w:b/>
        </w:rPr>
        <w:t>E. 8</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Demnach sind vorliegend auch die Daten der X._______-Datenbank zu berücksichtigen. Die Beschwerdeführerin ist allerdings in diesem Zusammenhang darauf aufmerksam zu machen, dass sie aufgrund der geltenden Mitwirkungspflicht gemäss Art. 13 VwVG bei der Beschaffung der Daten entsprechend mitzuwirken hat. Da der Gehalt der Überprüfung bei der Aufnahme einer neuen Applikationsform nicht gleich umfassend ist wie bei einer Überprüfung aufgrund einer Indikationserweiterung oder einer Limitierungsänderung, kann sich die Beschwerdeführerin nicht auf Art. 35b Abs. 2 KLV berufen. Ebenso wenig kann sie sich vorliegend auf den Vertrauensschutz berufen. Die dreijährliche Überprüfung von B._______ erfolgte demnach zu Recht im Jahr 2012. Aus den dargelegten Gründen ist die Beschwerde dahingehend gutzuheissen, dass die Angelegenheit, wie ausgeführt, in Aufhebung der angefochtenen Verfügung an die Vorinstanz zur Vornahme einer umfassenden Prüfung der Aufnahmebedingungen (unter Einschluss von APV und TQV) und anschliessend neuer Verfügung zurückzuweisen ist. Im Übrigen ist die Beschwerde abzuweisen.</w:t>
      </w:r>
    </w:p>
    <w:p>
      <w:r>
        <w:rPr>
          <w:b/>
        </w:rPr>
        <w:t>E. 9.1</w:t>
      </w:r>
    </w:p>
    <w:p>
      <w:r>
        <w:t>Das Bundesverwaltungsgericht auferlegt die Verfahrenskosten in der Regel der unterliegenden Partei. Unterliegt diese nur teilweise, so werden die Verfahrenskosten ermässigt (Art. 63 Abs. 1 VwVG).</w:t>
      </w:r>
    </w:p>
    <w:p>
      <w:r>
        <w:rPr>
          <w:b/>
        </w:rPr>
        <w:t>E. 9.2</w:t>
      </w:r>
    </w:p>
    <w:p>
      <w:r>
        <w:t>Unter Berücksichtigung des Umfangs und der Schwierigkeit der Streitsache, Art der Prozessführung und finanzieller Lage der Parteien (vgl. Art. 63 Abs. 4bis VwVG) sind die Verfahrenskosten vorliegend auf Fr. 4'000.- festzusetzen.</w:t>
      </w:r>
    </w:p>
    <w:p>
      <w:r>
        <w:rPr>
          <w:b/>
        </w:rPr>
        <w:t>E. 9.3</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Beusch/Kneubühler, a.a.O., Rz. 4.43). Eine Rückweisung gilt praxisgemäss als Obsiegen der beschwerdeführenden Partei (vgl. BGE 137 V 57 E. 2.1 m.H.). Soweit die Beschwerdeführerin allerdings eine Überprüfung von B._______ im Jahr 2013 beantragt, ist sie als unterliegend zu betrachten. Das Ausmass des Unterliegens lässt sich bei diesem Ergebnis indessen nicht genau bestimmen. Es erscheint angemessen, die Verfahrenskosten zu einem Viertel der Beschwerdeführerin aufzuerlegen. Diese sind dem bereits geleisteten Kostenvorschuss in der Höhe von Fr. 4'000.- zu entnehmen. Der Restbetrag von Fr. 3'000.- ist der Beschwerdeführerin nach Eintritt der Rechtskraft des vorliegenden Urteils zurückzuerstatten. Der Vorinstanz sind keine Verfahrenskosten aufzuerlegen (Art. 63 Abs. 2 VwVG).</w:t>
      </w:r>
    </w:p>
    <w:p>
      <w:r>
        <w:rPr>
          <w:b/>
        </w:rPr>
        <w:t>E. 9.4</w:t>
      </w:r>
    </w:p>
    <w:p>
      <w:r>
        <w:t>Die teilweise obsiegende Beschwerdeführerin hat gemäss Art. 64 Abs. 1 VwVG in Verbindung mit Art. 7 ff. des Reglements vom 21. Februar 2008 über die Kosten und Entschädigungen vor dem Bundesverwaltungsgericht (VGKE, SR 173.320.2) Anspruch auf eine reduzierte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w:t>
      </w:r>
    </w:p>
    <w:p>
      <w:r>
        <w:rPr>
          <w:b/>
        </w:rPr>
        <w:t>E. 9.5</w:t>
      </w:r>
    </w:p>
    <w:p>
      <w:r>
        <w:t>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um ein Viertel reduzierte Parteientschädigung von Fr. 6'000.- (inkl. Auslagen und Mehrwertsteuer; Art. 9 Abs. 1 in Verbindung mit Art. 10 Abs. 2 VGKE) zu Lasten der Vorinstanz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