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C-6582/2013 vom 12. August 2014</w:t>
      </w:r>
    </w:p>
    <w:p>
      <w:r>
        <w:t>Bundesverwaltungsgericht, 2014-08-12, FR</w:t>
      </w:r>
    </w:p>
    <w:p>
      <w:r>
        <w:rPr>
          <w:b/>
        </w:rPr>
        <w:t xml:space="preserve">Quelle: </w:t>
      </w:r>
      <w:r>
        <w:t>https://mcp.opencaselaw.ch/entscheid/bvger_C-6582_2013</w:t>
      </w:r>
    </w:p>
    <w:p>
      <w:r>
        <w:t>FR: TAF C-6582/2013 du 12 août 2014</w:t>
      </w:r>
    </w:p>
    <w:p>
      <w:r>
        <w:t>IT: TAF C-6582/2013 del 12 agosto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(cf.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2013/33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 al. 3 OASA).</w:t>
      </w:r>
    </w:p>
    <w:p>
      <w:r>
        <w:rPr>
          <w:b/>
        </w:rPr>
        <w:t>E. 4.2</w:t>
      </w:r>
    </w:p>
    <w:p>
      <w:r>
        <w:t>En l'espèce, la compétence décisionnelle appartient à la Confédération en vertu des règles de procédure précitées (cf. également ch. 1.3.1.1 et 1.3.1.4 let. c des Directives et commentaires de l'ODM, publiées sur le site internet www.bfm.admin.ch &gt; Documentation &gt; Bases légales &gt; Directives et circulaires &gt; Domaine des étrangers &gt; I. Domaine des étrangers, version du 4 juillet 2014 [site internet consulté en août 2014]). Il s'ensuit que ni le Tribunal, ni l'ODM ne sont liés par la proposition du SPOP-VD du 24 juillet 2013 (cf. ci-dessus, let. B)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sa décision du 3 octobre 2013, l'ODM ne conteste pas que A._______ remplit toutes les conditions matérielles énoncées à l'art. 27 al. 1 let. a à d LEtr.</w:t>
      </w:r>
    </w:p>
    <w:p>
      <w:r>
        <w:rPr>
          <w:b/>
        </w:rPr>
        <w:t>E. 6.1.1</w:t>
      </w:r>
    </w:p>
    <w:p>
      <w:r>
        <w:t>A ce titre, l'examen du dossier de la cause amène le Tribunal à constater que la recourante a été admise à suivre une année académique auprès de l'Institut Monte Rosa, sis à Montreux, de sorte que l'établissement précité a reconnu son aptitude à suivre la formation envisagée au sens de l'art. 27 al. 1 let. a LEtr (cf. document de l'Institut Monte Rosa intitulé "Confirmation of Registration" daté du 17 juin 2013 et échange de courriers électroniques entre F._______ et l'Institut Monte Rosa produits en annexe au mémoire de recours). Il ressort en outre des pièces du dossier que l'intéressée, qui aura le cas échéant le statut d'interne au sein de l'institution de formation précitée, dispose par conséquent d'un logement approprié et que tous les frais inhérents à son séjour sont pris en charge par la société (...), à (...) (cf. lettre du 19 juin 2013 produite en annexe au mémoire de recours).</w:t>
      </w:r>
    </w:p>
    <w:p>
      <w:r>
        <w:rPr>
          <w:b/>
        </w:rPr>
        <w:t>E. 6.1.2</w:t>
      </w:r>
    </w:p>
    <w:p>
      <w:r>
        <w:t>Au surplus, rien n'indique que la recourante ne disposerait pas du niveau de formation et des qualifications personnelles requis au sens de l'art. 27 al. 1 let. d LEtr pour suivre le cursus prévu. S'agissant plus spécialement des qualifications personnelles, il sied de rappeler qu'aux termes de l'art. 23 al. 2 OASA, lesdites qualifications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la recourante fait valoir, en guise de motivation de sa demande, sa volonté d'effectuer en Suisse une année préparatoire en vue de l'entrée dans une université anglo-saxonne, le Tribunal de céans ne saurait, à première vue, contester que la présence de A._______ en Suisse ait pour objectif premier l'acquisition des aptitudes et des connaissances nécessaires pour lui permettre de poursuivre sa formation universitaire dans le monde anglo-saxon. Aussi, il ne saurait en l'espèce être question d'invoquer un comportement abusif de la part de l'intéressée, ce que l'autorité de première instance se garde du reste de faire.</w:t>
      </w:r>
    </w:p>
    <w:p>
      <w:r>
        <w:rPr>
          <w:b/>
        </w:rPr>
        <w:t>E. 6.2</w:t>
      </w:r>
    </w:p>
    <w:p>
      <w:r>
        <w:t>Dans ces circonstances, force est de constater que les conditions de l'art. 27 al. 1 LEtr sont remplies.</w:t>
      </w:r>
    </w:p>
    <w:p>
      <w:r>
        <w:rPr>
          <w:b/>
        </w:rPr>
        <w:t>E. 7.1</w:t>
      </w:r>
    </w:p>
    <w:p>
      <w:r>
        <w:t>Indépendamment des considérations émises précédemment, il importe de souligner que l'art. 27 LEtr est une disposition rédigée en la forme potestative (ou "Kann-Vorschrift") et qu'en conséquence, même si la recourante remplit toutes les conditions prévues par la loi, elle ne dispose d'aucun droit à la délivrance d'une autorisation de séjour en vue de formation, à moins qu'elle puisse se prévaloir d'une disposition particulière du droit fédéral ou d'un traité lui conférant un tel droit, ce qui n'est manifestement pas le cas en l'espèce. Les autorités disposent donc d'un large pouvoir d'appréciation dans le cadre de la présente cause (cf. art. 96 LEtr).</w:t>
      </w:r>
    </w:p>
    <w:p>
      <w:r>
        <w:rPr>
          <w:b/>
        </w:rPr>
        <w:t>E. 7.2</w:t>
      </w:r>
    </w:p>
    <w:p>
      <w:r>
        <w:t>En l'occurrence, l'autorité inférieure considère que "la nécessité de devoir absolument suivre des cours d'anglais en Suisse n'est pas démontrée à réelle satisfaction" (cf. décision querellée, p. 5). Aussi estime-t-elle qu'il n'est pas opportun de laisser A._______ débuter la formation envisagée. La prénommée souligne au contraire que l'année de formation au sein de l'Institut Monte Rosa est nécessaire pour lui permettre d'acquérir les connaissances requises pour intégrer un système éducatif qui n'est pas le sien, à savoir le système anglo-saxon, dans les domaines de l'économie et des affaires. Au-delà de l'offre de formation, la prénommée souhaite venir en Suisse en raison de la proximité de plusieurs membres de sa famille et du cadre sécurisé mis en place par l'Institut Monte Rosa pour ses pensionnaires majeurs.</w:t>
      </w:r>
    </w:p>
    <w:p>
      <w:r>
        <w:rPr>
          <w:b/>
        </w:rPr>
        <w:t>E. 7.3</w:t>
      </w:r>
    </w:p>
    <w:p>
      <w:r>
        <w:t>A l'examen des pièces figurant au dossier et des moyens de preuve produits dans le cadre de la procédure de recours, il appert que A._______ est inscrite auprès de l'Institut Monte Rosa pour y accomplir une année académique devant lui permettre de préparer son entrée au sein d'une université anglo-saxonne en améliorant ses aptitudes en anglais (cf. Application form, p. 2 [English as foreign language]) et en suivant le "Trans-Academic Program" proposé par l'Institut Monte Rosa (cf. Application form, p. 2 [Trans-Academic Program Business + Economy]), programme dans le cadre duquel sont notamment dispensés des cours d'économie, de mathématique et de préparation au TOEFL. Dans sa pondération des intérêts, l'autorité intimée a considéré que A._______ désirait séjourner en Suisse durant une année pour y suivre des cours d'anglais. Les explications fournies et les pièces produites montrent de manière convaincante que le but du séjour de la recourante en Suisse va bien au-delà du seul apprentissage de la langue anglaise. Il doit lui permettre, dans le cadre d'une année préparatoire, d'acquérir les compétences nécessaires pour être immatriculée dans une institution de formation anglo-saxonne spécialisée dans l'économie et le monde des affaires. C'est précisément la démarche que l'Institut Monte Rosa, au travers de son "Trans-Academic Program", propose (cf. document de l'Institut Monte Rosa intitulé "Programs in English &amp; programme de langues - language program", p. 3 : "This program has been specially designed for those students who are about to change school systems envisaging entrance to a business school"). Eu égard à la situation en Libye, il apparaît de surcroît hautement vraisemblable que l'intéressée ne dispose pas, dans son pays d'origine, d'une offre de formation équivalente. Sur un autre plan, il y a lieu de considérer que de par l'objectif qu'elle s'est fixée durant une année à l'Institut Monte Rosa, la recourante a saisi le caractère temporaire de son séjour dans le canton de Vaud. Elle s'est par ailleurs formellement engagée à quitter la Suisse à l'issue de sa formation (cf. mémoire de recours, p. 12, et déclaration écrite de A._______ produite en annexe à sa requête d'autorisation d'entrée pour long séjour). Aussi, on ne saurait conclure, comme l'a fait l'autorité de première instance, que le cursus que la recourante envisage de suivre auprès de l'Institut Monte Rosa n'apparaît pas nécessaire au sens de la jurisprudence développée en la matière et, partant, qu'il n'est pas opportun d'autoriser A._______ à entrer en Suisse et à y séjourner durant une année.</w:t>
      </w:r>
    </w:p>
    <w:p>
      <w:r>
        <w:rPr>
          <w:b/>
        </w:rPr>
        <w:t>E. 8</w:t>
      </w:r>
    </w:p>
    <w:p>
      <w:r>
        <w:t>En conclusion, après avoir analysé tous les éléments en présence, le Tribunal ne décèle aucun motif susceptible de justifier un refus d'octroi d'une autorisation d'entrée en Suisse et d'approbation à l'octroi d'une autorisation de séjour temporaire pour études au sens de l'art. 27 LEtr. Partant, le recours interjeté par A._______ doit être admis et la décision attaquée annulée, l'autorité inférieure étant invitée à autoriser la prénommée à entrer en Suisse et à donner son approbation à l'octroi d'une autorisation de séjour en sa faveur. Au surplus, il importe d'attirer l'attention de la recourante sur le fait que dite autorisation lui est accordée uniquement pour suivre la formation annoncée - d'une durée d'une année - au sein de l'Institut Monte Rosa, prélude à la poursuite de ses études dans le monde anglo-saxon, et d'insister sur le caractère temporaire de ce séjour.</w:t>
      </w:r>
    </w:p>
    <w:p>
      <w:r>
        <w:rPr>
          <w:b/>
        </w:rPr>
        <w:t>E. 9</w:t>
      </w:r>
    </w:p>
    <w:p>
      <w:r>
        <w:t>Bien qu'elle succombe, l'autorité inférieure n'a pas à supporter de frais de procédure (cf. art. 63 al. 2 PA). Obtenant gain de cause, la recourante n'a pas à supporter de frais de procédure (cf. art. 63 al. 1 a contrario et al. 3 PA) et a droit à des dépens (cf. art. 64 al. 1 PA en relation avec l'art. 7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 mandataire, le Tribunal estime, au regard des art. 8ss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