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C-657/2009 vom 26. Februar 2010</w:t>
      </w:r>
    </w:p>
    <w:p>
      <w:r>
        <w:t>Bundesverwaltungsgericht, 2010-02-26, DE</w:t>
      </w:r>
    </w:p>
    <w:p>
      <w:r>
        <w:rPr>
          <w:b/>
        </w:rPr>
        <w:t xml:space="preserve">Quelle: </w:t>
      </w:r>
      <w:r>
        <w:t>https://mcp.opencaselaw.ch/entscheid/bvger_C-657_2009</w:t>
      </w:r>
    </w:p>
    <w:p>
      <w:r>
        <w:t>FR: TAF C-657/2009 du 26 février 2010</w:t>
      </w:r>
    </w:p>
    <w:p>
      <w:r>
        <w:t>IT: TAF C-657/2009 del 26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Praxis und Rechtsprechung bezüglich des Merkmals der gesicherten Wiederausreise angeknüpft werden, wie sie vor dem Inkrafttreten des Schengen-Assoziierungsabkommens bestand (vgl. zum Ganzen BVGE 2009/27 E. 5).</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 eines Visums sein müssen. Die Philippinen sind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Auf den Philippinen sind breite Bevölkerungsschichten von vergleichsweise kargen wirtschaftlichen und sozialen Lebensbedingungen betroffen. Wiederkehrende politische Turbulenzen und die hohe Staats- und Auslandverschuldung haben das Land in der Entwicklung und im Vergleich zu den Nachbarländern zurückgeworfen. In den letzten Jahren befand es sich zwar auf einem stabilen Wachstumspfad mit Wachstumsraten von durchschnittlich 6%. Dennoch ist es der Regierung nicht gelungen, die Armut zu reduzieren. Nach Angaben der Weltbank ist der Anteil der unter der Armutsgrenze lebenden Bevölkerung im Gegenteil sogar von 30% im Jahr 2003 auf 33% im Jahr 2006 angestiegen, und dies gegen den Trend der Südostasien-Region, in der die Armut allgemein rückläufig ist. Auch die Arbeitslosigkeit bleibt ein drängendes Problem. Im Jahr 2008 ist die Arbeitslosenrate zwar weitgehend stabil geblieben (7,4% geschätzt); zu den offiziellen Arbeitslosen kommen jedoch ca. 21% Unterbeschäftigte (Quelle: Länder- und Reiseinformationen auf der Webseite des deutschen Auswärtigen Amtes: www.auswaertiges-amt.de &gt; Länder, Reisen und Sicherheit &gt; Philippinen &gt; Wirtschaft, Stand: Oktober 2009, besucht am 1. Februar 2010). Entsprechend hoch ist der Anteil jener, die zeitweise oder auf Dauer ins Ausland emigrieren wollen, um dort unter günstigeren Lebensbedingungen eine bessere Existenz aufbauen zu können. Sogar die Regierung fördert gezielt die Entsendung von Gastarbeitern ins Ausland; einerseits, um den heimischen Arbeitsmarkt zu entlasten, andererseits auch, um Devisen zu erwirtschaften und den Inlandkonsum anzukurbeln. Mittlerweile verlassen über 1 Mio. Menschen jährlich die Philippinen, um im Ausland Arbeit zu suchen (vgl. Auswärtiges Amt, a.a.O.).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 der Gesuchstellerin handelt es sich um eine 36-jährige, unverheiratete und kinderlose Frau. Sie lebt gemäss Darstellung der Beschwerdeführer im Verband einer Grossfamilie. Damit hat sie zwar durchaus familiäre Bindungen vor Ort. Eigentliche Verpflichtungen persönlicher oder familiärer Natur, welche die Prognose einer fristgerechten und anstandslosen Wiederausreise begünstigen könnten, sind bei ihr aber keine erkennbar und wurden auch nicht geltend gemacht.</w:t>
      </w:r>
    </w:p>
    <w:p>
      <w:r>
        <w:rPr>
          <w:b/>
        </w:rPr>
        <w:t>E. 7.2</w:t>
      </w:r>
    </w:p>
    <w:p>
      <w:r>
        <w:t>Die Gesuchstellerin arbeitet im Landwirtschaftsbetrieb der Grossfamilie mit. Dass die Grossfamilie für längere Zeit auf die Mitarbeit der Gesuchstellerin verzichten könnte, wird von den Beschwerdeführern selbst eingeräumt. Sie betonen zwar, dass die Gesuchstellerin zumindest während der Ernteperioden vor Ort mithelfen müsse. Andererseits hat diese aber in ihrem persönlichen Visumsantrag einen sechsmonatigen Aufenthalt beantragt, und zwar für die Zeit vom 30. April bis zum 29. Oktober 2009. Somit wäre es aus ihrer Sicht kein Problem gewesen, gleich während zweier Ernteperioden (Mai und September) den anfallenden Arbeiten vor Ort fern zu bleiben. Kommt hinzu, dass über die Grösse und die Erträge des landwirtschaftlichen Betriebs nichts Näheres bekannt ist. Somit kann auch kein Bild von den wirtschaftlichen Verhältnissen gewonnen werden, in denen sich die Gesuchstellerin und ihre Angehörigen befinden. Insgesamt sind daher auch in den beruflichen und damit wirtschaftlichen Verhältnissen der Gesuchstellerin keine Besonderheiten erkennbar, die eine Emigration als unwahrscheinlich erscheinen liessen.</w:t>
      </w:r>
    </w:p>
    <w:p>
      <w:r>
        <w:rPr>
          <w:b/>
        </w:rPr>
        <w:t>E. 7.3</w:t>
      </w:r>
    </w:p>
    <w:p>
      <w:r>
        <w:t>Vor diesem Hintergrund durfte die Vorinstanz demnach davon ausgehen, dass keine hinreichende Gewähr für eine fristgerechte und anstandslose Wiederausreise der Gesuchstellerin nach einem Besuchsaufenthalt besteht. An dieser Beurteilung vermag die von den Beschwerdeführern im Gesuchsverfahren abgegebene schriftliche Garantieerklärung (für die Übernahme ungedeckter Kosten bis maximal Fr. 30'000.-) nichts zu ändern. In ihrer Eigenschaft als Gastgeber können sie zwar für gewisse finanzielle Risiken im Zusammenhang mit dem Besuchsaufenthalt, aus nahe liegenden Gründen aber nicht für ein bestimmtes Verhalten ihres Gastes garantieren (anstelle vieler vgl. Urteile des Bundesverwaltungsgerichts C-204/2008 vom 5. März 2009 E. 8.4 und C-2618/2008 vom 26. Februar 2009 E. 11). Es versteht sich deshalb von selbst, dass daher auch die Bereitschaft der Beschwerdeführer, die Garantiesumme zu erhöhen, an der Risikoeinschätzung nichts zu ändern vermag. Abgesehen davon, dass eine solche Sicherheitsleistung (über die Garantie für ungedeckte Kosten hinaus) im erstinstanzlichen Verfahren kein Thema war, würde diese wiederum einseitig die Gastgeber verpflichten und sich deshalb kaum als taugliches Mittel erweisen, wenn es darum geht, das Verhalten des Gastes selbst zu beeinflussen.</w:t>
      </w:r>
    </w:p>
    <w:p>
      <w:r>
        <w:rPr>
          <w:b/>
        </w:rPr>
        <w:t>E. 8</w:t>
      </w:r>
    </w:p>
    <w:p>
      <w:r>
        <w:t>Die angefochtene Verfügung im Lichte von Art. 49 VwVG nicht zu beanstanden. Die Beschwerde ist daher abzuweisen.</w:t>
      </w:r>
    </w:p>
    <w:p>
      <w:r>
        <w:rPr>
          <w:b/>
        </w:rPr>
        <w:t>E. 9</w:t>
      </w:r>
    </w:p>
    <w:p>
      <w:r>
        <w:t>Entsprechend dem Ausgang des Verfahrens werden die unterliegenden Beschwerdeführer kostenpflichtig (Art. 63 Abs. 1 VwVG,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