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C-6578/2018 vom 16. Mai 2019</w:t>
      </w:r>
    </w:p>
    <w:p>
      <w:r>
        <w:t>Bundesverwaltungsgericht, 2019-05-16, DE</w:t>
      </w:r>
    </w:p>
    <w:p>
      <w:r>
        <w:rPr>
          <w:b/>
        </w:rPr>
        <w:t xml:space="preserve">Quelle: </w:t>
      </w:r>
      <w:r>
        <w:t>https://mcp.opencaselaw.ch/entscheid/bvger_C-6578_2018</w:t>
      </w:r>
    </w:p>
    <w:p>
      <w:r>
        <w:t>FR: TAF C-6578/2018 du 16 mai 2019</w:t>
      </w:r>
    </w:p>
    <w:p>
      <w:r>
        <w:t>IT: TAF C-6578/2018 del 16 maggio 2019</w:t>
      </w:r>
    </w:p>
    <w:p>
      <w:pPr>
        <w:pStyle w:val="Heading2"/>
      </w:pPr>
      <w:r>
        <w:t>Regeste</w:t>
      </w:r>
    </w:p>
    <w:p>
      <w:r>
        <w:t>Spezialitätenliste</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in der Höhe von Fr. 4'000.- wird dieser nach Eintritt der Rechtskraft des vorliegenden Abschreibungsentscheids zurückerstattet.</w:t>
      </w:r>
    </w:p>
    <w:p>
      <w:r>
        <w:rPr>
          <w:b/>
        </w:rPr>
        <w:t>E. 3</w:t>
      </w:r>
    </w:p>
    <w:p>
      <w:r>
        <w:t>Die Vorinstanz wird verpflichtet, der Beschwerdeführerin eine Parteientschädigung von Fr. 6'000.- zu bezahlen.</w:t>
      </w:r>
    </w:p>
    <w:p>
      <w:r>
        <w:rPr>
          <w:b/>
        </w:rPr>
        <w:t>E. 4</w:t>
      </w:r>
    </w:p>
    <w:p>
      <w:r>
        <w:t>Dieser Entscheid geht an: - die Beschwerdeführerin (Gerichtsurkunde; Formular «Zahladresse») - die Vorinstanz (Ref-Nr. [...]; Gerichtsurkunde) - das Eidgenössische Departement des Innern (Einschreiben)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