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C-6576/2012 vom 20. November 2013</w:t>
      </w:r>
    </w:p>
    <w:p>
      <w:r>
        <w:t>Bundesverwaltungsgericht, 2013-11-20, FR</w:t>
      </w:r>
    </w:p>
    <w:p>
      <w:r>
        <w:rPr>
          <w:b/>
        </w:rPr>
        <w:t xml:space="preserve">Quelle: </w:t>
      </w:r>
      <w:r>
        <w:t>https://mcp.opencaselaw.ch/entscheid/bvger_C-6576_2012</w:t>
      </w:r>
    </w:p>
    <w:p>
      <w:r>
        <w:t>FR: TAF C-6576/2012 du 20 novembre 2013</w:t>
      </w:r>
    </w:p>
    <w:p>
      <w:r>
        <w:t>IT: TAF C-6576/2012 del 20 novembre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4.1</w:t>
      </w:r>
    </w:p>
    <w:p>
      <w:r>
        <w:t>La décision dont est recours fait suite à une première demande de rente du 9 novembre 2006 ayant été rejetée par décision de l'OAIE du 18 septembre 2009 en raison d'une pleine capacité de travail dans une activité de substitution et d'une perte de gain ainsi que d'un taux d'invalidité de 22 %.</w:t>
      </w:r>
    </w:p>
    <w:p>
      <w:r>
        <w:rPr>
          <w:b/>
        </w:rPr>
        <w:t>E. 4.2</w:t>
      </w:r>
    </w:p>
    <w:p>
      <w:r>
        <w:t>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4.5</w:t>
      </w:r>
    </w:p>
    <w:p>
      <w:r>
        <w:t>En l'espèce, l'OAIE n'a pas rendu de décision de refus d'entrer en matière, mais a examiné la nouvelle demande matériellement. Le Tribunal peut donc se limiter à examiner si le recourant remplit les conditions d'octroi d'une rente jusqu'au 19 novembre 2012, date de la décision attaquée marquant la limite dans le temps du pouvoir d'examen de l'autorité de recours (ATF 136 V 24 consid. 4.3 avec les réf.).</w:t>
      </w:r>
    </w:p>
    <w:p>
      <w:r>
        <w:rPr>
          <w:b/>
        </w:rPr>
        <w:t>E. 5</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Suisse comme magasinier jusqu'à son opération cardiaque en 2006, il a ensuite bénéficié de mesures de réadaptation professionnelle de l'assurance-invalidité entre septembre 2008 et mai 2009 et cherche un emploi depuis cette date.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7.3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7.4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En l'espèce, dans la décision du 18 septembre 2009, l'OAIE a retenu que les mesures de réadaptation professionnelle suffisaient et que l'assuré n'avait pas droit à d'autres prestations de l'assurance-invalidité, étant donné que l'activité habituelle n'était plus exigible, mais que l'assuré présentait une capacité totale de travail dans une activité adaptée aux limitations fonctionnelles et subissait une perte de gain de 22 %, ce qui n'ouvrait pas de droit à une rente d'invalidité (AI dossier 1 pce 18/09/2009). L'intéressé n'a pas présenté une nouvelle demande de prestations, mais la Sécurité sociale française a transmis la demande de l'assuré de janvier 2011 à l'assurance-invalidité suisse, ce qui a conduit l'OAIE à examiner une nouvelle demande. L'assuré ne fait pas valoir une péjoration de son état de santé depuis le 18 septembre 2009.</w:t>
      </w:r>
    </w:p>
    <w:p>
      <w:r>
        <w:rPr>
          <w:b/>
        </w:rPr>
        <w:t>E. 9.2</w:t>
      </w:r>
    </w:p>
    <w:p>
      <w:r>
        <w:t>Dès lors, compte tenu du dossier existant et à défaut d'autres documents médicaux apportés par l'assuré, le Tribunal de céans ne peut que retenir que l'évaluation de l'invalidité lors de la décision du 18 septembre 2009 entrée en force reste valable puisque l'assuré présente toujours une capacité totale de travail dans une activité adaptée aux limitations fonctionnelles étant donné que les observations échographiques du 19 décembre 2012 (un mois après la décision litigieuse) n'ont aucune répercussion clinique au niveau cardiaque, la situation étant hémo-dynamiquement bien compensée et l'atteinte pulmonaire pouvant limiter l'assuré dans les efforts importants et modérés mais pas dans une activité légère et sédentaire.</w:t>
      </w:r>
    </w:p>
    <w:p>
      <w:r>
        <w:rPr>
          <w:b/>
        </w:rPr>
        <w:t>E. 9.3</w:t>
      </w:r>
    </w:p>
    <w:p>
      <w:r>
        <w:t>Dans ses écritures le recourant conteste que le service médical de l'assurance-invalidité puisse se déterminer sur son état de santé sans l'avoir vu. Le grief n'est point pertinent car il appartient justement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présentant pas d'incohérence, l'appréciation retenue par le service médical de l'AI d'une pleine capacité de travail dans une activité adaptée n'a pas lieu d'être mise en doute.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11.1</w:t>
      </w:r>
    </w:p>
    <w:p>
      <w:r>
        <w:t>En l'espèce il y a ainsi lieu de procéder à une évaluation de l'invalidité selon la méthode générale. En effet, l'intéressé a cessé son activité lucrative en 2006 et ne l'a pas reprise depuis lors, un bref essai de reprise de l'ancienne activité en 2007 n'ayant pas été fructueux. L'OAIE a déjà procédé à une comparaison de revenu lors de la décision du 18 septembre 2009 et a relevé que la perte de gain et donc le taux d'invalidité était de 22 %. Etant donné que le recourant présente toujours la même capacité de travail, on ne voit pas pourquoi le taux d'invalidité se serait modifié dès lors, en tout cas pas dans une mesure qui ouvrirait le droit à une rente. Il appert de ce qui précède que le recours doit être rejeté et la décision attaquée confirmée.</w:t>
      </w:r>
    </w:p>
    <w:p>
      <w:r>
        <w:rPr>
          <w:b/>
        </w:rPr>
        <w:t>E. 11.2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11.3</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11.4</w:t>
      </w:r>
    </w:p>
    <w:p>
      <w:r>
        <w:t>Les frais de procédure, fixés à 400 francs, sont mis à la charge du recourant (art. 63 al. 1 PA, applicable par le truchement de l'art. 37 LTAF). Ils sont compensés par l'avance de frais du même montant dont il s'est acquittée au cours de l'instruction.</w:t>
      </w:r>
    </w:p>
    <w:p>
      <w:r>
        <w:rPr>
          <w:b/>
        </w:rPr>
        <w:t>E. 11.5</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