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C-6573/2009 vom 19. Mai 2010</w:t>
      </w:r>
    </w:p>
    <w:p>
      <w:r>
        <w:t>Bundesverwaltungsgericht, 2010-05-19, FR</w:t>
      </w:r>
    </w:p>
    <w:p>
      <w:r>
        <w:rPr>
          <w:b/>
        </w:rPr>
        <w:t xml:space="preserve">Quelle: </w:t>
      </w:r>
      <w:r>
        <w:t>https://mcp.opencaselaw.ch/entscheid/bvger_C-6573_2009</w:t>
      </w:r>
    </w:p>
    <w:p>
      <w:r>
        <w:t>FR: TAF C-6573/2009 du 19 mai 2010</w:t>
      </w:r>
    </w:p>
    <w:p>
      <w:r>
        <w:t>IT: TAF C-6573/2009 del 19 maggio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5.2 et 5.3 p. 344).</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du Maroc, l'intéressé est soumis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7.2</w:t>
      </w:r>
    </w:p>
    <w:p>
      <w:r>
        <w:t>En l'occurrence, il faut prendre en considération la situation socio-économique peu favorable prévalant au Maroc ainsi que les disparités économiques importantes existant entre ce pays et la Suisse. Même si le Maroc connaît une forte croissance économique, l'économie reste toutefois fragile, étant fortement axée sur l'agriculture et à ce titre largement tributaire des conditions météorologiques. En 2008, le taux de chômage atteignait 9.8% et le PIB par habitant était de 2 780 USD, alors qu'en Suisse il dépassait les 50 000 USD (cf. site du Ministère des affaires étrangères et européennes de la République française www.diplomatie.gouv.fr &gt; Pays - zone géo &gt; Maroc &gt; Présentation du Maroc, mis à jour en janvier 2010, visité le 7 mai 2010; sur le même site &gt; Pays - zone géo &gt; Suisse &gt; Données générales).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w:t>
      </w:r>
    </w:p>
    <w:p>
      <w:r>
        <w:rPr>
          <w:b/>
        </w:rPr>
        <w:t>E. 7.3</w:t>
      </w:r>
    </w:p>
    <w:p>
      <w:r>
        <w:t>Contrairement à ce que la recourante a soutenu dans sa réplique, l'autorité ne se fonde pas uniquement sur la situation régnant dans le pays d'origine du requérant, mais doit également prendre en considération les particularités du cas d'espèce.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7.4</w:t>
      </w:r>
    </w:p>
    <w:p>
      <w:r>
        <w:t>En l'espèce, B._______ est une personne jeune, célibataire et sans charge de famille, de sorte qu'il serait parfaitement à même de se créer une nouvelle existence hors de sa patrie, sans que cela n'entraîne pour lui de difficultés majeures sur le plan personnel ou familial. S'il parvient à vivre de son commerce de poissonnier et qu'il s'occupe de la gestion du domaine familial, ces attaches professionnelles, qui pourraient certes, dans une certaine mesure, être susceptibles de l'inciter à regagner son pays d'origine, ne lui confèrent toutefois pas des conditions de vie à ce point aisées qu'on puisse exclure qu'il soit tenté de prolonger son séjour en Suisse afin d'y travailler, étant donné la perspective d'un meilleur avenir au vu des disparités économiques importantes existant entre ce pays et le Maroc. S'agissant des membres de sa famille qui résident au Maroc, ces liens familiaux, tout comme l'attachement que l'intéressé porte à sa vie dans la campagne marocaine ne sauraient non plus suffire à garantir son retour au Maroc, au vu du contexte socioéconomique dans lequel se trouve cet Etat et la qualité de vie ainsi que les perspectives économiques tout autres existant en Suisse.</w:t>
      </w:r>
    </w:p>
    <w:p>
      <w:r>
        <w:rPr>
          <w:b/>
        </w:rPr>
        <w:t>E. 7.5</w:t>
      </w:r>
    </w:p>
    <w:p>
      <w:r>
        <w:t>Il sied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7.6</w:t>
      </w:r>
    </w:p>
    <w:p>
      <w:r>
        <w:t>Ainsi, sans pour autant minimiser les raisons d'ordre essentiellement familial et affectif qui motivent la demande, le Tribunal ne saurait admettre, au vu de l'ensemble des éléments du dossier, que le retour de B._______ au Maroc au terme de l'autorisation demandée soit suffisamment garanti.</w:t>
      </w:r>
    </w:p>
    <w:p>
      <w:r>
        <w:rPr>
          <w:b/>
        </w:rPr>
        <w:t>E. 8</w:t>
      </w:r>
    </w:p>
    <w:p>
      <w:r>
        <w:t>Cela étant, le désir exprimé par l'intéressé, au demeurant parfaitement compréhensible, de venir en Suisse rendre visite à sa soeur et le souhait de cette dernière d'inviter son frère pour le remercier de son engagement envers leurs parents ne constituent pas des motifs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10</w:t>
      </w:r>
    </w:p>
    <w:p>
      <w:r>
        <w:t>Compte tenu des considérants exposés ci-dessus, il appert que, par sa décision du 17 septembre 2009,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600.-, à la charge de la recourante,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