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C-6569/2008 vom 25. August 2010</w:t>
      </w:r>
    </w:p>
    <w:p>
      <w:r>
        <w:t>Bundesverwaltungsgericht, 2010-08-25, FR</w:t>
      </w:r>
    </w:p>
    <w:p>
      <w:r>
        <w:rPr>
          <w:b/>
        </w:rPr>
        <w:t xml:space="preserve">Quelle: </w:t>
      </w:r>
      <w:r>
        <w:t>https://mcp.opencaselaw.ch/entscheid/bvger_C-6569_2008</w:t>
      </w:r>
    </w:p>
    <w:p>
      <w:r>
        <w:t>FR: TAF C-6569/2008 du 25 août 2010</w:t>
      </w:r>
    </w:p>
    <w:p>
      <w:r>
        <w:t>IT: TAF C-6569/2008 del 25 agosto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52 PA et art. ), le recours est donc recevable quant à sa forme. Il convient de préciser que la recourante a la faculté de se faire représenter par un mandataire (art. 37 LPGA et 11 PA) et que cette représentation échappe au monopole des avocats ( André Moser/Michael Beusch/Lorenz Kneubühler, Prozessieren vor dem Bundesverwaltungsgericht, Bâle 2008, p. 108 n. 3.3), de sorte que la recourante est parfaitement en droit de se faire représenter par un organisme de son choix.</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op. cit.,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La recourante a déposé une demande de prestations AI le 25 janvier 2008 auprès des autorités compétentes espagnoles. Cette date est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La décision litigieuse est datée du 3 septembre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Il sied de noter que les principes légaux et jurisprudentiels prévalant lors de l'évaluation de l'invalidité n'ont pas subi de modification avec l'introduction du nouveau droit. En revanche, depuis le 1er janvier 2008, l'assuré doit compter au moins trois années de cotisations lors de la survenance de l'invalidité pour avoir droit à une rente ordinaire, contre une année sous l'ancien droit (cf. art. 36 LAI). Pour calculer le droit à la rente des ressortissants d'un Etat membre de l'UE qui ne satisfont pas cette condition, il faut tenir compte des périodes de cotisations accomplies sous la législation d'un autre Etat membre (art. 45 du Règlement [CEE] 1408/71; cf. Message du 22 juin 2005 concernant la 5e révision AI, FF 2005 4291). En l'espèce, selon l'extrait de son compte individuel (CI) la recourante a cotisé à l'AVS/AI pendant 5 mois en 1989, 10 mois en 1990 et 9 mois en 1991, sans que ne ressorte du dossier le type d'autorisation de séjour dont elle bénéficiait (afin de déterminer si elle était assurée sur l'année entière, cf. art. 50 du règlement du 31 octobre 1947 sur l'assurance vieillesse et survivants [RAVS, RS 831.101]). Vu l'issu du litige (cf. consid. infra 10), la question de savoir si elle satisfait la condition des trois ans de cotisations peut toutefois restée ouverte. Il reviendra à l'autorité inférieure, dans le cadre de son nouvel examen, d'instruire cette question. Les dispositions légales topiques sont citées dans leur teneur au 1er janvier 2008, sauf mention contraire.</w:t>
      </w:r>
    </w:p>
    <w:p>
      <w:r>
        <w:rPr>
          <w:b/>
        </w:rPr>
        <w:t>E. 5</w:t>
      </w:r>
    </w:p>
    <w:p>
      <w:r>
        <w:t>Il reste donc à examiner si et dans quelle mesure la recourante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2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En vertu de l'art. 28a al. 2 LAI, en dérogation à l'art. 16 LPGA, l'invalidité des assurés qui n'exercent pas d'activité lucrative est évaluée en fonction de l'incapacité d'accomplir leurs travaux habituels. L'invalidité dans ces travaux doit être évaluée par comparaison des activités (art. 27 RAI ; méthode spécifique) et est déterminée, en règle générale, au moyen d'une enquête économique sur place (VSI 2001 p. 158 consid. 3c. L'incapacité de travail correspondra alors à la diminution - attestée médicalement - du rendement fonctionnel dans l'accomplissement des travaux habituels.</w:t>
      </w:r>
    </w:p>
    <w:p>
      <w:r>
        <w:rPr>
          <w:b/>
        </w:rPr>
        <w:t>E. 7.2</w:t>
      </w:r>
    </w:p>
    <w:p>
      <w:r>
        <w:t>Le choix de la méthode d'évaluation de l'invalidité (méthode générale de la comparaison des revenus, méthode mixte, méthode spécifique) dépendra du statut de l'assuré qui soit exerce une activité lucrative à temps complet, soit exerce une activité lucrative à temps partiel, soit n'a aucune activité. Le classement de l'assuré dans l'un ou l'autre de ces statuts dépendra de ce qu'il aurait fait s'il n'y avait pas eu une atteinte à la santé ceteris paribus sic stantibus. Pour ce faire, il convient de prendre en considération l'évolution de la situation jusqu'au prononcé de la décision entreprise, en admettant la reprise hypothétique d'une activité lucrative partielle ou complète, si cette éventualité présente un degré de vraisemblance prépondérante (ATF, 129 V 150 consid 2.1 et les références citées).</w:t>
      </w:r>
    </w:p>
    <w:p>
      <w:r>
        <w:rPr>
          <w:b/>
        </w:rPr>
        <w:t>E. 7.3</w:t>
      </w:r>
    </w:p>
    <w:p>
      <w:r>
        <w:t>Lorsque l'assuré ne doit pas être considéré comme une personne exerçant une activité à temps plein (méthode générale), il convient encore de déterminer la part consacrée aux travaux habituels dans le ménage par rapport à celle de l'activité lucrative. La part de l'activité lucrative est, dans ce cas, déterminée en comparant en percentile l'horaire usuel dans la profession en question à l'horaire effectivement accompli; la part des travaux habituels constitue le reste du pourcentage. L'invalidité est déterminée, d'une part, par comparaison des activités selon l'art. 27 RAI (travaux habituels) et, d'autre part, par comparaison des revenus selon l'art. 28a al. 1LAI (activité lucrative), l'invalidité globale étant déterminée pro rata temporis de chacune des parts (cf. art. 28a al. 3 LAI qui s'applique aussi lorsque l'assuré travaille sans être rémunéré dans l'entreprise de son conjoint).</w:t>
      </w:r>
    </w:p>
    <w:p>
      <w:r>
        <w:rPr>
          <w:b/>
        </w:rPr>
        <w:t>E. 8.1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S'agissant de l'application de la méthode spécifique, même si, pour les assurés résidant à l'étranger, faute de personnel qualifié, une enquête économique ne peut pas être diligentée sur place, il convient tout de même de procéder à une évaluation de l'atteinte dans l'accomplissement des tâches habituelles selon des principes analogues (arrêt du TAF C-5131/2007 du 16 mars 2009 consid. 4.2.5). Ainsi, selon la jurisprudence, pour lui reconnaître une valeur probante, il est essentiel que l'enquête soit effectuée par une personne qualifiée qui a la connaissance des relations locales et spatiales ainsi que des atteintes et handicaps ressortant des diagnostics médicaux. De plus, l'avis de l'assuré doit être pris en considération; cas échéant il faut donc indiquer les divergences. Le texte du rapport doit être plausible, motivé et raisonnablement détaillé au sujet des différentes restrictions, conformément aux observations relevées sur place (ATF 134 V 9 [arrêt I 246/05 du 30 octobre 2007] consid. 5.2 non publié).</w:t>
      </w:r>
    </w:p>
    <w:p>
      <w:r>
        <w:rPr>
          <w:b/>
        </w:rPr>
        <w:t>E. 8.2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la situation est pour le moins confuse. On ne sait pas quel est exactement le statut de la recourante qui indique dans le questionnaire à l'assuré collaborer avant l'atteinte à sa santé à l'entreprise agricole de son mari, à raison de 10 heures par jour. Il semble donc que les tâches de ménage étaient accomplies en sus de ce travail, comme n'importe quelle autre personne exerçant une activité lucrative à plein temps qui tient son ménage parallèlement. L'autorité inférieure s'est fondée visiblement sur la méthode spécifique qu'elle a appliqué au mépris de la jurisprudence précitée, se contentant d'une analyse schématique qui ne tient pas vraiment compte des relations locales et spatiales. Par la suite, elle a toutefois demandé à son service médical de se prononcer sur l'activité résiduelle d'agricultrice.</w:t>
      </w:r>
    </w:p>
    <w:p>
      <w:r>
        <w:rPr>
          <w:b/>
        </w:rPr>
        <w:t>E. 9.2</w:t>
      </w:r>
    </w:p>
    <w:p>
      <w:r>
        <w:t>Concernant les incidences de son état de santé sur sa capacité de travail, la confusion demeure et la Cour ne saurait sans réserve se rallier au point de vue de l'autorité qui finalement consiste à dire que quoique la recourante fasse (ménage ou agricultrice), elle peut toujours le faire dans une mesure suffisante. Une autorité de recours a besoin d'éléments concrets et étayés afin de pouvoir vérifier l'application du droit. Toutefois, s'agissant du volet psychiatrique, il n'y a guère de doute que les atteintes, purement réactives, ne sont pas de nature invalidante. Sur le plan somatique, deux médecins espagnols excluent la pratique de l'activité d'agricultrice tout en étant d'avis qu'un travail adapté serait exigible (dans une mesure qui reste à déterminer) alors que le médecin de l'OAIE, sous prétexte que le travail de paysanne recouvre un large spectre d'activités allant de léger à lourd, estime que la recourante peut toujours l'exercer. Or, s'il s'agit d'une agricultrice indépendante (ce qui n'est pas clair), on ne peut pas raisonner ainsi, il y a lieu de comparer les activités et d'évaluer le degré d'invalidité d'après l'incidence de la capacité de rendement amoindrie sur la situation concrète (ATF 128 V 29 consid. 1). De plus, contrairement à ce que retient le médecin de l'OAIE, seuls ne sont pas prohibés les travaux lourds, mais également toute pression abdominale, laquelle peut également être provoquée par des activités légères. Dans la prise de position du 25 juin 2008 du premier médecin de l'OAIE, le Dr F._______, il est fait mention d'un redéplacement programmé de l'iléon qui n'est pas documenté dans le dossier. L'expertise E213 indique qu'une "cierre ostomia" serait susceptible d'améliorer l'état de santé de la recourante, ce qui ne signifie pas encore qu'elle est projetée.</w:t>
      </w:r>
    </w:p>
    <w:p>
      <w:r>
        <w:rPr>
          <w:b/>
        </w:rPr>
        <w:t>E. 10.1</w:t>
      </w:r>
    </w:p>
    <w:p>
      <w:r>
        <w:t>Vu ce qui précède, si une capacité résiduelle de travail subsiste vraisemblablement, le TAF doit constater qu'il ne possède pas les éléments clairs pour se faire une opinion déterminée sur la mesure de cette capacité. Les activités exercées auparavant par la recourante ne ressortent pas avec limpidité du dossier et il est douteux que l'opération subie ainsi que la confection d'une poche iléo-anale lui confère encore une pleine capacité de travail, sans diminution de rendement, dans n'importe quelle activité. A ce sujet, la proximité de cabinets d'aisance, le temps consacré à la vidange de la poche doivent également être pris en considération.</w:t>
      </w:r>
    </w:p>
    <w:p>
      <w:r>
        <w:rPr>
          <w:b/>
        </w:rPr>
        <w:t>E. 10.2</w:t>
      </w:r>
    </w:p>
    <w:p>
      <w:r>
        <w:t>Partant, il se justifie d'annuler la décision du 3 septembre 2008, d'admettre partiellement le recours et de renvoyer la cause à l'autorité intimée afin qu'elle détermine clairement les activités de la recourante, les conséquences de ses atteintes à la santé sur ces activités en diligentant soit une expertise médicale soit une enquête économique correspondant aux exigences de la jurisprudence. Surtout, elle indiquera explicitement sur quelle méthode s'appuie finalement sa décision. Elle instruira également la question de la durée de cotisations et du début de l'éventuelle incapacité de travail (cf. consid. supra 4).</w:t>
      </w:r>
    </w:p>
    <w:p>
      <w:r>
        <w:rPr>
          <w:b/>
        </w:rPr>
        <w:t>E. 11.1</w:t>
      </w:r>
    </w:p>
    <w:p>
      <w:r>
        <w:t>Compte tenu de l'issue du litige, il n'est pas perçu de frais de procédure (art. 63 al. 1 et 2 PA). En conséquence, l'avance de frais de Fr. 400.- déjà versée par la recourante lui sera restituée sur le compte qu'elle aura désignée, une fois le présent arrêt entré en force.</w:t>
      </w:r>
    </w:p>
    <w:p>
      <w:r>
        <w:rPr>
          <w:b/>
        </w:rPr>
        <w:t>E. 11.2</w:t>
      </w:r>
    </w:p>
    <w:p>
      <w:r>
        <w:t>Il reste à examiner la question des dépens relatifs à la procédure devant l'autorité de céans. Les art. 64 Pa et 7 du règlement du 21 février 2008 concernant les frais, dépens et indemnités fixés par le Tribunal administratif fédéral (FITAF, RS 173.320.2) - applicable en l'espèce en vertu de l'art. 53 al. 2 in fine LTAF - permettent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l'organisme espagnol représentant la recourante en instance de recours a consisté principalement dans la rédaction d'un recours de 5 pages et demie, accompagné d'un bordereau de 10 pièces, d'une réponse de 2 pages et demie accompagnée de 6 copies et d'une lettre d'une page. Il se justifie, eu égard à ce qui précède, de lui allouer une indemnité à titre de dépens de Fr. 800.-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