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C-6566/2007 vom 9. November 2009</w:t>
      </w:r>
    </w:p>
    <w:p>
      <w:r>
        <w:t>Bundesverwaltungsgericht, 2009-11-09, FR</w:t>
      </w:r>
    </w:p>
    <w:p>
      <w:r>
        <w:rPr>
          <w:b/>
        </w:rPr>
        <w:t xml:space="preserve">Quelle: </w:t>
      </w:r>
      <w:r>
        <w:t>https://mcp.opencaselaw.ch/entscheid/bvger_C-6566_2007</w:t>
      </w:r>
    </w:p>
    <w:p>
      <w:r>
        <w:t>FR: TAF C-6566/2007 du 9 novembre 2009</w:t>
      </w:r>
    </w:p>
    <w:p>
      <w:r>
        <w:t>IT: TAF C-6566/2007 del 9 novembre 2009</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de la loi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l'espèce, la décision attaquée est indubitablement une décision au sens de l'art. 5 PA et le Tribunal administratif fédéral est compétent pour en connaître (cf. 33 let. d LTAF; art. 69 al. 1 let. b de la loi fédérale du 19 juin 1959 sur l'assurance-invalidité [LAI, RS 831.20]). 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 En l'espèce, le recours a été interjeté dans le délai prévu par la loi (cf. art. 60 LPGA et art. 52 PA). La recourante est particulièrement touchée par la décision attaquée et a un intérêt digne de protection à ce qu'elle soit annulée ou modifiée (art. 59 LPGA); elle a partant qualité pour recourir.</w:t>
      </w:r>
    </w:p>
    <w:p>
      <w:r>
        <w:rPr>
          <w:b/>
        </w:rPr>
        <w:t>E. 2</w:t>
      </w:r>
    </w:p>
    <w:p>
      <w:r>
        <w:t>La recourante est citoyenne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(art. 80a al. 1 let. a LAI). Conformément à l'art. 3 al. 1 du Règlement (CEE) N° 1408/71 du Conseil du 14 juin 1971,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 C'est donc à raison que l'OAIE a indiqué n'être pas lié par la décision de la Sécurité sociale espagnole du 4 octobre 2001 reconnaissant à l'intéressée un degré d'invalidité permanente totale. Il en va de même de la jurisprudence espagnole qu'elle cite et de la table de l'OMS qu'elle produit - il s'agit en réalité d'un décret du Ministère du travail et des assurances espagnol. Conformément à ce qui a été rappelé ci-dessus, ces éléments n'ont pas de portée propre ici, la cause devant être résolue selon les seules dispositions et jurisprudence suisses.</w:t>
      </w:r>
    </w:p>
    <w:p>
      <w:r>
        <w:rPr>
          <w:b/>
        </w:rPr>
        <w:t>E. 3</w:t>
      </w:r>
    </w:p>
    <w:p>
      <w:r>
        <w:t>La recourante peut invoquer la violation du droit fédéral (qui englobe notamment les droits constitutionnels des citoyens [ATF 124 II 517 consid. 1 p. 519; 123 II 385 consid. 3 p. 388]), y compris l'excès ou l'abus du pouvoir d'appréciation, de même que la constatation inexacte ou incomplète des faits pertinents et que l'inopportunité (cf. art. 49 PA).</w:t>
      </w:r>
    </w:p>
    <w:p>
      <w:r>
        <w:rPr>
          <w:b/>
        </w:rPr>
        <w:t>E. 4</w:t>
      </w:r>
    </w:p>
    <w:p>
      <w:r>
        <w:t>En vertu de la maxime inquisitoire, le Tribunal doit constater les faits pertinents et ordonner et apprécier d'office les preuves nécessaires (cf.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(cf. ATF 119 V 347 consid. 1a).</w:t>
      </w:r>
    </w:p>
    <w:p>
      <w:r>
        <w:rPr>
          <w:b/>
        </w:rPr>
        <w:t>E. 5</w:t>
      </w:r>
    </w:p>
    <w:p>
      <w:r>
        <w:t>La LPGA, ainsi que l'ordonnance du 11 septembre 2002 sur la partie générale du droit des assurances sociales (OPGA, RS 830.11), sont entrées en vigueur le 1er janvier 2003, entraînant la modification de nombreuses dispositions légales dans le domaine de l'assurance-invalidité. Selon l'art. 2 LPGA (ce également dans sa teneur en vigueur à partir du 1er janvier 2008), les dispositions de la LPGA sont applicables aux assurances sociales régies par la législation fédérale, si et dans la mesure où les lois spéciales sur les assurances sociales le prévoient. Or, l'art. 1 LAI indique que les dispositions de la LPGA s'appliquent à l'assurance-invalidité (art. 1a à 26bis et 28 à 70), à moins que ladite loi ne déroge expressément à la LPGA. En particulier, les principes dégagés par la jurisprudence quant aux notions d'incapacité de gain et d'invalidité conservent leur validité sous l'empire de la LPGA (ATF 130 V 343).</w:t>
      </w:r>
    </w:p>
    <w:p>
      <w:r>
        <w:rPr>
          <w:b/>
        </w:rPr>
        <w:t>E. 6</w:t>
      </w:r>
    </w:p>
    <w:p>
      <w:r>
        <w:t>S'agissant du droit matériel applicable, il convient encore de préciser qu'à partir du 1er janvier 2004, la présente procédure est régie par la teneur de la LAI modifiée par la novelle du 21 mars 2003 (4ème révision), eu égard au principe selon lequel les règles applicables sont celles en vigueur au moment où les faits juridiquement déterminants se sont produits (ATF 130 V 445 consid. 1.2). Selon une jurisprudence constante, le juge des assurances sociales apprécie la légalité des décisions attaquées, en règle générale, d'après l'état de fait existant au moment où la décision litigieuse a été rendue (ATF 116 V 246 consid. 1a et les arrêts cités). Les modifications introduites par la novelle du 6 octobre 2006 (5ème révision), entrées en vigueur le 1er janvier 2008, ne concernent donc pas cette procédure.</w:t>
      </w:r>
    </w:p>
    <w:p>
      <w:r>
        <w:rPr>
          <w:b/>
        </w:rPr>
        <w:t>E. 7</w:t>
      </w:r>
    </w:p>
    <w:p>
      <w:r>
        <w:t>Le litige porte sur le droit de l'intéressée aux prestations de l'assurance-invalidité. Aux termes de l'art. 8 al. 1 LPGA, est réputée invalidité l'incapacité de gain totale ou partielle qui est présumée permanente ou de longue durée. L'art. 4 LAI précise que l'invalidité peut résulter d'une infirmité congénitale, d'une maladie ou d'un accident (al. 1). Selon l'al. 2 de cette dernière disposition,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raisonnablement être exigé de lui, si cette perte résulte d'une atteinte à la santé physique ou mentale. En cas d'incapacité de longue durée, l'activité qui peut être exigée de lui peut aussi relever d'une autre profession ou d'un autre domaine d'activité (art. 6 LPGA). Selon l'art. 7 LPGA est réputée incapacité de gain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Dans ce contexte,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avec les réf.; 115 V 53, 114 V 285 consid. 3, 111 V 239 consid. 2a; 117 V 400, consid. 4b; Thomas Locher, Die Schadenminderungspflicht im Bundesgesetz vom 19. Juni 1959 über die Invalidenversicherung, in Mélanges pour le 75e anniversaire du TFA, p. 407 et ss., cf. aussi Alfred Maurer, Schweizerisches Sozialversicherungsrecht, vol. II p. 377, Ulrich Meyer-Blaser, Zum Verhältnismässigkeitsgrundsatz im staatlichen Leistungsrecht, th. Berne 1985, p. 131). Le fait que le recourant ne mette pas en valeur sa capacité résiduelle de travail pour des raisons étrangères à l'invalidité ne relève pas de l'assurance- invalidité, car il s'agit là de facteurs qui ne sont pas liés à l'invalidité et que l'AI n'est pas tenue de prendre en charge (RCC 1991 p. 329 consid. 3c). Dans cette mesure, la formation professionnelle, les aptitudes physiques et mentales de l'assuré, ainsi que son âge ou un arrêt de travail prolongé ne sont pas des facteurs supplémentaires propres à influencer l'étendue de l'invalidité, même s'ils rendent parfois plus difficile la recherche d'une place et, partant, l'utilisation de la capacité de travail résiduelle (cf. RCC 1982 p. 34 consid. 2C; VSI 1999, p. 247 consid. 1 et réf.).</w:t>
      </w:r>
    </w:p>
    <w:p>
      <w:r>
        <w:rPr>
          <w:b/>
        </w:rPr>
        <w:t>E. 8</w:t>
      </w:r>
    </w:p>
    <w:p>
      <w:r>
        <w:t>L'assuré a droit à un quart de rente s'il est invalide à 40% au moins, à une demi-rente s'il est invalide à 50%, à trois-quarts de rente s'il est invalide à 60% et à une rente entière s'il est invalide à 70% au moins (art. 28 al. 1 LAI, depuis la 4ème révision, introduite par la novelle du 21 mars 2003).</w:t>
      </w:r>
    </w:p>
    <w:p>
      <w:r>
        <w:rPr>
          <w:b/>
        </w:rPr>
        <w:t>E. 9</w:t>
      </w:r>
    </w:p>
    <w:p>
      <w:r>
        <w:t>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265 ss).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22 consid. 2; 99 V 99; 96 V 44). Au vu du dossier, il semble que c'est la seconde hypothèse qui est relevante ici. Une incapacité de travail de 20% doit être prise en compte pour le calcul de l'incapacité de travail moyenne selon l'art. 29 al. 1 let. b LAI (cf. chiffre marginal 2016 de la Circulaire concernant l'invalidité et l'impotence; Jurisprudence et pratique administrative des autorités d'exécution de l'AVS/AI [Pratique VSI] 1998 p. 126 consid. 3c). La demande de prestations AI a été déposée le 14 avril 2005. Le Tribunal peut donc se limiter ici à examiner si l'intéressée avait droit aux prestations depuis avril 2004, ou si ce droit est né entre cette date et le 13 août 2007, date de la décision attaquée marquant la limite dans le temps du pouvoir d'examen de l'autorité de recours (art. 48 al. 2 LAI; ATF 129 V consid 1; 121 V 362 consid. 1b).</w:t>
      </w:r>
    </w:p>
    <w:p>
      <w:r>
        <w:rPr>
          <w:b/>
        </w:rPr>
        <w:t>E. 10</w:t>
      </w:r>
    </w:p>
    <w:p>
      <w:r>
        <w:t>La notion d'invalidité des art. 8 al. 1 LPGA et 4 al. 1 LAI est de nature juridique/économique et non pas médicale (ATF 116 V 246 consid. 1b); l'objet assuré n'est pas l'atteinte à la santé (la maladie), mais les conséquences économiques de l'atteinte, à savoir une incapacité de gain probablement permanente ou de longue durée. Le taux d'invalidité ne se confond pas nécessairement avec le taux d'incapacité fonctionnelle déterminé par le médecin; ce sont les conséquences économiques objectives de l'incapacité fonctionnelle qu'il importe d'évaluer (ATF 110 V 275 consid. 4). Le Tribunal fédéral a néanmoins jugé que les données fournies par les médecins constituent un élément utile pour déterminer quels travaux peuvent encore être exigés de l'assuré (ATF 125 V 261 consid. 4, 115 V consid. 2, 114 V 314 consid. 3c, 105 V 158 consid. 1; RCC 1991 p. 331 consid. 1c). 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118 V 220 consid. 1b et réf. cit.). Au surplus, le juge peut et doit tenir compte du fait que selon l'expérience, le médecin traitant est généralement enclin, en cas de doute, à prendre parti pour son patient en raison de la relation de confiance qui l'unit à ce dernier (ATF 125 V 353 consid. 3b/cc et les réf. cit.; Ulrich Meyer-Blaser, Bundesgesetz über die Invalidenversicherung, in: Rechtsprechung des Bundesgerichts zum Sozialversicherungsrecht, Zurich 1997, p. 230).</w:t>
      </w:r>
    </w:p>
    <w:p>
      <w:r>
        <w:rPr>
          <w:b/>
        </w:rPr>
        <w:t>E. 11.1</w:t>
      </w:r>
    </w:p>
    <w:p>
      <w:r>
        <w:t>En l'espèce, la recourante soutient ne pouvoir effectuer quelque activité que ce soit en expliquant que du fait de ses maladies chroniques et non susceptibles d'amélioration, qui ressortent des certificats qu'elle a produits, ses membres inférieurs sont gravement atteints. Le service médical de l'OAIE, Dr E._______, retient au titre de diagnostic principal une insuffisance veineuse des membres inférieurs avec antécédents d'ulcères au niveau du pied droit (octobre 2001), ainsi que des lésions épidermiques avec ectasie vasculaire au niveau des deux pieds avec cicatrices d'ulcères antécédents et atrophie cutanée (pce 22). Il ajoute qu'une chirurgie adéquate des varices pourrait intervenir. Sur la base de ses constatations, il considère que si une incapacité de travail de 50% pourrait être reconnue dès le 19 mai 2001 dans la profession de cuisinière, en raison de la position en station debout prolongée que requiert cette activité, une activité de substitution permettant des changements de position fréquents sans aucune limitation, telle celle d'organisatrice du travail en cuisine (commandes, etc; cf. pce 21; réponse) serait en revanche exigible sans limitation aucune dès cette même date. Au vu de l'ensemble du dossier, le Tribunal ne peut que confirmer cette analyse du Service médical OAIE, qui remplit les exigences rappelées plus haut pour que lui soit donnée pleine valeur probante. Aucun élément objectif n'a été présenté qui justifierait de s'en écarter. Le Tribunal observe en particulier que tant quant au diagnostic que quant aux conséquences de celui-ci sur la capacité de travail, la position de l'OAIE est largement corroborée par le formulaire E 213 produit (pce 20; cf. ch. 4.5, 7, 8 et 9). Les diagnostics posés ainsi que les limitations fonctionnelles pertinentes trouvent également des points d'ancrage dans les prises de positions antérieures de la Sécurité sociale espagnole (cf. pces 14a, 14b et 18). Il convient d'ailleurs de relever que l'intéressée, y compris en procédure de recours, a surtout (voire exclusivement), fait valoir ses seules atteintes aux membres inférieurs pour fonder ses prétentions (cf. par exemple formulaire E 213 ch. 4.5.5: plaintes d'oedèmes aux membres inférieurs ainsi que de plaies; présentation en sus d'un certificat médical dont il ressort qu'elle souffre d'hépatite "grasse"). D'autres prétendues affections et leurs éventuelles conséquences n'ont dès lors pas à être prises en compte ici. Le Tribunal souligne au demeurant que d'autres atteintes (hépatite grasse, cholestérol, etc.) ne furent mentionnées que par deux médecins généralistes dans des pièces antérieures à la décision de la Sécurité sociale espagnole de 2001 (cf. pces 15, 16 et 17); aucun élément ne permet de considérer qu'elles étaient toujours présentes lorsque fut rendue la décision attaquée, ni même ultérieurement, et en tout état de cause, rien n'indique qu'elles présenteraient un caractère invalidant susceptible d'être retenu ici. Dès lors, si les atteintes aux membres inférieurs de l'intéressée sont établies et justifient une incapacité de travail de 50% dans sa profession habituelle de cuisinière dès le 19 mai 2001, elles ne sont en revanche pas telles qu'elles l'empêcheraient d'exercer à plein temps une activité de substitution dès cette date, sans perte de rendement, moyennant qu'un tel travail adapté à son état de santé permette un changement de position fréquent.</w:t>
      </w:r>
    </w:p>
    <w:p>
      <w:r>
        <w:rPr>
          <w:b/>
        </w:rPr>
        <w:t>E. 11.2</w:t>
      </w:r>
    </w:p>
    <w:p>
      <w:r>
        <w:t>Pour le Tribunal, au vu de ce qui précède, des activités de substitutions telles que celles prises en compte par l'OAIE (cf. pces 21 et 23; réponse), mais aussi, de façon plus générale, toute activité simple et répétitive (niveau de qualification 4) permettant un changement de position fréquent sont raisonnablement exigibles de l'intéressée (encore relativement jeune), conformément à son obligation prévue par le droit suisse de tout mettre en oeuvre pour exploiter sa capacité de travail résiduelle et ainsi contribuer à diminuer autant que possible les conséquences de son invalidité.</w:t>
      </w:r>
    </w:p>
    <w:p>
      <w:r>
        <w:rPr>
          <w:b/>
        </w:rPr>
        <w:t>E. 11.3</w:t>
      </w:r>
    </w:p>
    <w:p>
      <w:r>
        <w:t>Quant au calcul de la perte de gain opéré par l'OAIE (pce 23; application justifiée de la méthode générale, et non de celle extraordinaire, cf. RAMA 1995, p. 106ss), il ne prête pas le flanc à la critique, y compris s'agissant de l'abattement de 15% retenu. Faute de modification des revenus pris en compte par l'OAIE susceptible d'influencer le droit à la rente, il n'y a pas lieu de calculer à nouveau ici cette perte (cf. ATF 129 V 222 consid. 4.2). Avec un degré d'invalidité de 23% (voire moins, si l'on devait prendre en compte comme salaire d'invalide la moyenne pour les femmes de toutes les activités simples et répétitives, soit Fr. 3'893.- en 2004, avant correction horaire), l'intéressée ne saurait prétendre à une rente AI suisse. Partant, le recours doit être rejeté.</w:t>
      </w:r>
    </w:p>
    <w:p>
      <w:r>
        <w:rPr>
          <w:b/>
        </w:rPr>
        <w:t>E. 12</w:t>
      </w:r>
    </w:p>
    <w:p>
      <w:r>
        <w:t>En application des articles 63 al. 1 PA et 1 ss du règlement du 21 février 2008 concernant les frais, dépens et indemnités fixés par le Tribunal administratif fédéral (FITAF, RS 173.320.2), les frais de procédure devraient être mis à la charge de la recourante, qui succombe. Le Tribunal de céans renonce cependant à percevoir ces frais (cf. art. 6 lit. b FITAF). Il n'y a pas lieu d'allouer des dépens (art. 64 PA en relation avec l'art. 7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