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C-6562/2018 vom 8. April 2019</w:t>
      </w:r>
    </w:p>
    <w:p>
      <w:r>
        <w:t>Bundesverwaltungsgericht, 2019-04-08, DE</w:t>
      </w:r>
    </w:p>
    <w:p>
      <w:r>
        <w:rPr>
          <w:b/>
        </w:rPr>
        <w:t xml:space="preserve">Quelle: </w:t>
      </w:r>
      <w:r>
        <w:t>https://mcp.opencaselaw.ch/entscheid/bvger_C-6562_2018</w:t>
      </w:r>
    </w:p>
    <w:p>
      <w:r>
        <w:t>FR: TAF C-6562/2018 du 8 avril 2019</w:t>
      </w:r>
    </w:p>
    <w:p>
      <w:r>
        <w:t>IT: TAF C-6562/2018 del 8 aprile 2019</w:t>
      </w:r>
    </w:p>
    <w:p>
      <w:pPr>
        <w:pStyle w:val="Heading2"/>
      </w:pPr>
      <w:r>
        <w:t>Regeste</w:t>
      </w:r>
    </w:p>
    <w:p>
      <w:r>
        <w:t>Spezialitätenliste</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Urteils zurückerstattet.</w:t>
      </w:r>
    </w:p>
    <w:p>
      <w:r>
        <w:rPr>
          <w:b/>
        </w:rPr>
        <w:t>E. 3</w:t>
      </w:r>
    </w:p>
    <w:p>
      <w:r>
        <w:t>Der Beschwerdeführerin wird zulasten der Vorinstanz eine Parteientschädigung von Fr. 3'500.- zugesprochen.</w:t>
      </w:r>
    </w:p>
    <w:p>
      <w:r>
        <w:rPr>
          <w:b/>
        </w:rPr>
        <w:t>E. 4</w:t>
      </w:r>
    </w:p>
    <w:p>
      <w:r>
        <w:t>Dieser Entscheid geht an: - die Beschwerdeführerin (Gerichtsurkunde; Beilage: Formular Zahladresse) - die Vorinstanz (Ref-Nr. [...]; Gerichtsurkunde; Beilage: Kopie der Stellungnahme der Beschwerdeführerin vom 26.3.2019) - das Eidgenössische Departement des Innern (Einschreiben)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