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C-6560/2014 vom 27. November 2017</w:t>
      </w:r>
    </w:p>
    <w:p>
      <w:r>
        <w:t>Bundesverwaltungsgericht, 2017-11-27, DE</w:t>
      </w:r>
    </w:p>
    <w:p>
      <w:r>
        <w:rPr>
          <w:b/>
        </w:rPr>
        <w:t xml:space="preserve">Quelle: </w:t>
      </w:r>
      <w:r>
        <w:t>https://mcp.opencaselaw.ch/entscheid/bvger_C-6560_2014</w:t>
      </w:r>
    </w:p>
    <w:p>
      <w:r>
        <w:t>FR: TAF C-6560/2014 du 27 novembre 2017</w:t>
      </w:r>
    </w:p>
    <w:p>
      <w:r>
        <w:t>IT: TAF C-6560/2014 del 27 novembre 2017</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11. November 2014 gegen den als Verfügung im Sinne von Art. 5 Abs. 1 des Bundesgesetzes vom 20. Dezember 1968 über das Verwaltungsverfahren (VwVG, SR 172.021) zu qualifizierenden Entscheid der Vorinstanz vom 14. Oktober 2014 ergibt sich aus Art. 31, 32 und 33 Bst. d des Verwaltungsgerichtsgesetzes vom 17. Juni 2005 (VGG, SR 173.32).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Mit Vollmacht vom 27. Oktober 2014 hat sie die Rechtsanwälte Thomas Eichenberger und Claudio Helmle zur Vertretung im vorliegenden Verfahren bevollmächtigt (act. 1, Beilage 6).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(vgl. BGE 131 V 164 E. 2.1) bildet die Verfügung der Vorinstanz vom 14. Oktober 2014, mit welcher das Preiserhöhungsgesuch für das von der Beschwerdeführerin vertriebene Arzneimittel B._______ abgewiesen wurde. Umstritten und zu prüfen ist, ob die Vorinstanz die Aufnahmebedingungen von B._______ im Rahmen des Preiserhöhungsgesuchs rechtskonform überprüft und in der Folge das Gesuch zu Recht abgewiesen hat.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stellt den rechtserheblichen Sachverhalt von Amtes wegen fest (Untersuchungsgrundsatz; Art. 12 VwVG). Das Prinzip der Rechtsanwendung von Amtes wegen verpflichtet die Behörde, auf den festgestellten Sachverhalt jenen Rechtssatz anzuwenden, den sie als den zutreffenden ansieht (vgl. Krauskopf/Emmenegger, in: Praxiskommentar VwVG, 2009 [im Folgenden: Praxiskommentar], Nr. 17 zu Art. 12 VwVG). Die Rechtsanwendung betrifft die Schlussfolgerung aus den Sachverhaltsfeststellungen, d.h. das richtige Verständnis der Rechtsbegriffe (Auslegung) und die Subsumption des Sachverhalts unter die Rechtsnormen (vgl. Christoph Auer, in: Kommentar zum Bundesgesetz über das Verwaltungsverfahren [VwVG], 2008 [im Folgenden: VwVG-Kommentar], Rz. 2 zu Art. 12 m.H.).</w:t>
      </w:r>
    </w:p>
    <w:p>
      <w:r>
        <w:rPr>
          <w:b/>
        </w:rPr>
        <w:t>E. 3.5</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14. Oktober 2014 geltenden materiellen Bestimmungen (vgl. Urteil des BVGer C-2979/2008 vom 1. Dezember 2010 E. 4.1). Dazu gehören einerseits namentlich das KVG in der nach Inkrafttreten der Änderung vom 1. März 2014 geltenden Fassung (AS 2014 387; BBl 2013 2459 2469), die KVV in der Fassung vom 29. November 2013, in Kraft seit 1. März 2014 (AS 2013 4523) und die KLV in der Fassung vom 16. Mai 2014; in Kraft seit 1. Juli 2014 (AS 2014 1251). Sofern die Parteien Ausführungen zu nach Erlass der Verfügung in Kraft getretenen bzw. geänderten Bestimmungen machen, ist vorliegend nicht darauf einzugehen.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Bundesamt ist laut Art. 67 Abs. 2 KVV zuständig für die Bewilligung einer Erhöhung der in der Spezialitätenliste festgesetzten Preise. Die Erteilung der Bewilligung setzt voraus, dass das Arzneimittel die Aufnahmebedingungen (Art. 36 Abs. 1 KLV, Art. 65 KVV, vgl. E. 4.6) noch erfüllt (Art. 67 Abs. 2 lit. a KVV) und seit der Aufnahme oder der letzten Preiserhöhung mindestens zwei Jahre verstrichen sind (Art. 67 Abs. 2 lit. b KVV). Die Begriffe der Wirksamkeit und Zweckmässigkeit sowie der Wirtschaftlichkeit werden in den Art. 32 ff. KLV näher umschrieben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zuletzt besucht am 19. September 2016 [im Folgenden:] Gutachten Gächter/Meienberger). Bei der Aufnahme von Arzneimitteln, Gesuchen um Limitationsänderung, Meldungen von Indikationserweiterungen und Preiserhöhungsgesuchen ist ein Kostenvergleich mit anderen Arzneimitteln gleicher Indikation oder ähnlicher Wirkungsweise vorzunehmen (SL-Handbuch, C.2.1.1).</w:t>
      </w:r>
    </w:p>
    <w:p>
      <w:r>
        <w:rPr>
          <w:b/>
        </w:rPr>
        <w:t>E. 5</w:t>
      </w:r>
    </w:p>
    <w:p>
      <w:r>
        <w:t>Vorliegend wird weder von den Parteien vorgebracht noch geht aus den Akten hervor, dass der Preis des mit Verfügung vom (...) per (...) in die SL aufgenommenen Arzneimittels B._______ in den letzten zwei Jahren erhöht worden wäre. Somit ist die für die Behandlung des Preiserhöhungsgesuchs erforderliche Voraussetzung der Zweijahresfrist gemäss Art. 67 Abs. 2 lit. b KVV erfüllt, sodass die beantragte Preiserhöhung grundsätzlich umfassend, unter allen für die Aufnahme eines Arzneimittels in die SL relevanten Gesichtspunkten, durch die Bewilligungsbehörde geprüft werden muss (Art. 67 Abs. 2 lit. a KVV; vgl. E. 4.7). Nicht strittig ist, dass B._______ nach wie vor über eine gültige Zulassung des Heilmittelinstituts (Swissmedic) verfügt (siehe auch die Liste der zugelassenen Präparate auf www.swissmedic.ch, abgerufen am 21. März 2017) und die Zulassungsvoraussetzungen der Wirksamkeit und Zweckmässigkeit noch erfüllt. Umstritten und zu prüfen bleibt die durch die Vorinstanz im Rahmen des Preiserhöhungsgesuchs vorgenommene Beurteilung der Wirtschaftlichkeit.</w:t>
      </w:r>
    </w:p>
    <w:p>
      <w:r>
        <w:rPr>
          <w:b/>
        </w:rPr>
        <w:t>E. 5.1</w:t>
      </w:r>
    </w:p>
    <w:p>
      <w:r>
        <w:t>Art. 65b KVV in der ab 1. Oktober 2009 geltenden Fassung (AS 2009 4245) regelt im 4. Abschnitt "Spezialitätenliste" die Beurteilung der Wirtschaftlichkeit von Arzneimitteln im Allgemeinen. Danach gilt ein Arzneimittel als wirtschaftlich, wenn es die indizierte Heilwirkung mit möglichst geringem finanziellem Aufwand gewährleistet (Abs. 1). Die Wirtschaftlichkeit wird aufgrund folgender Vergleiche beurteilt: dem Vergleich mit dem Preis in Referenzländern (Auslandspreisvergleich [APV], Abs. 2 Bst. a) und dem Vergleich mit dem Preis und der Wirksamkeit anderer Arzneimittel (Abs. 2 Bst. b). Der Auslandspreisvergleich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5.1.1</w:t>
      </w:r>
    </w:p>
    <w:p>
      <w:r>
        <w:t>Gemäss Art. 34 Abs. 2 KLV (in der seit 1. Juli 2002 geltenden Fassung; AS 2002 3013) werden für die Beurteilung der Wirtschaftlichkeit eines Arzneimittels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berücksichtigt. Zudem wird bei einem Arzneimittel im Sinne von Art. 31 Abs. 2 Bst. a und b ein Innovationszuschlag für die Dauer von höchstens 15 Jahren berücksichtigt; in diesem Zuschlag sind die Kosten für Forschung und Entwicklung angemessen zu berücksichtigen (Bst. d).</w:t>
      </w:r>
    </w:p>
    <w:p>
      <w:r>
        <w:rPr>
          <w:b/>
        </w:rPr>
        <w:t>E. 5.1.2</w:t>
      </w:r>
    </w:p>
    <w:p>
      <w:r>
        <w:t>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FAP eines Arzneimittels in der Regel den durchschnittlichen FAP (abzüglich der Mehrwertsteuer) dieses Arzneimittels in Ländern mit wirtschaftlich vergleichbaren Strukturen im Pharmabereich nicht überschreiten. Das BAG vergleicht mit Ländern, in denen der FAP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5.1.3</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auch BVGE 2015/51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 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5.2</w:t>
      </w:r>
    </w:p>
    <w:p>
      <w:r>
        <w:t>Im Rahmen der Abklärung der Markterhältlichkeit von B._______ hat das Bundesverwaltungsgericht aufgrund des Untersuchungsgrundsatzes (E. 3.4) die Parteien mit Zwischenverfügung vom 30. Juni 2017 (act. 27) aufgefordert, sich zum Vertrieb von B._______ in (...) und (...) sowie zur Notwendigkeit der Durchführung eines APV im Rahmen der Wirtschaftlichkeitsprüfung zu äussern.</w:t>
      </w:r>
    </w:p>
    <w:p>
      <w:r>
        <w:rPr>
          <w:b/>
        </w:rPr>
        <w:t>E. 5.2.1</w:t>
      </w:r>
    </w:p>
    <w:p>
      <w:r>
        <w:t>Das BAG führte zur Markterhältlichkeit von B.b._______ in (...) und (...) aus, es habe im Rahmen der Überprüfung der Aufnahmebedingungen alle drei Jahre im Jahr 2013 bei B._______ überprüft, ob ein APV durchzuführen sei. Wohl seien sowohl in (...) als auch in (...) Formen von B._______ auf dem Markt. B._______ weise jedoch in der Schweiz eine andere galenische Form auf als die in (...); zudem beständen Unterschiede in Bezug auf die Bioverfügbarkeit der verschiedenen Arzneimittel, wodurch diese Arzneimittel nicht eins zu eins austauschbar seien. Das BAG habe unter Berücksichtigung dieser Unterschiede festgestellt, dass die (...)-Formen in (...) und (...) dem in der Schweiz früher ebenfalls vertriebenen und bis im Jahr 2002 in der SL aufgeführten Arzneimittel B.c._______ entsprächen und nicht B._______ (act. 30). Ein Vergleich mit den (...)-Formen in (...) und (...) sei nicht angezeigt.</w:t>
      </w:r>
    </w:p>
    <w:p>
      <w:r>
        <w:rPr>
          <w:b/>
        </w:rPr>
        <w:t>E. 5.2.2</w:t>
      </w:r>
    </w:p>
    <w:p>
      <w:r>
        <w:t>Die Beschwerdeführerin gab ebenfalls mit Verweis auf die mit der Stellungnahme eingereichten umfangreichen Beweismittel (act. 33) an, dass B._______ im Vergleich zu den ausländischen Versionen von B._______ eine vollkommen andere Handelsform darstelle. Zudem verfüge B._______ über eine andere Bioverfügbarkeit, eine ganz unterschiedliche Pharmakokinetik, eine unterschiedliche (...)-Formulierung, eine ganz unterschiedliche galenische Form und somit auch über eine unterschiedliche Hilfsstoffzusammensetzung im Vergleich zu den ausländischen Versionen von B._______. Es handle sich somit nicht um gleiche Arzneimittel, weshalb auf einen APV verzichtet werden müsse.</w:t>
      </w:r>
    </w:p>
    <w:p>
      <w:r>
        <w:rPr>
          <w:b/>
        </w:rPr>
        <w:t>E. 5.2.3</w:t>
      </w:r>
    </w:p>
    <w:p>
      <w:r>
        <w:t>Vorliegend führte die Vorinstanz anlässlich der Überprüfung der Aufnahmebedingungen alle drei Jahre von B._______ im Jahr 2013 lediglich einen TQV mit dem Arzneimittel C._______ durch (BAG-act. 2 [Überprüfung]). Aus dem weiteren Schriftenwechsel geht hervor, dass sie davon ausging, B._______ werde ausschliesslich in der Schweiz hergestellt und vertrieben (BAG-act. 5 [Überprüfung], BAG-act. 4, 6 [Preiserhöhung]). Die Beschwerdeführerin selbst gab sowohl in ihrem Preiserhöhungsgesuch vom 14. Oktober 2013 als auch in ihren Stellungnahmen an, dass B._______ als rein lokales Produkt lediglich in der Schweiz erhältlich sei (BAG-act. 1 f., 5, 7 [Preiserhöhung]). Auf die Frage zur Markterhältlichkeit von B._______ in (...) und (...) führten sowohl die Vorinstanz als auch die Beschwerdeführerin in ihren Stellungnahmen vom 11. August 2017 (act. 30) und 28. September 2017 (act. 33) aus, dass die im Ausland vertriebenen Produkte nicht mit B._______ vergleichbar seien, weshalb ein APV nicht durchgeführt werden könne. Um diese Aussage zu belegen, hat die Beschwerdeführerin umfassende Unterlagen eingereicht (act. 33). Das Bundesverwaltungsgericht ist keine Fachbehörde und hat gemäss bundesgerichtlicher Rechtsprechung insbesondere, wenn die Sachverhaltswürdigung hochstehende, spezialisierte technische, wissenschaftliche oder wirtschaftliche Kenntnisse erfordert, den Entscheidungsspielraum der Vorinstanz zu respektieren. Insbesondere ist eine Zurückhaltung des Gerichts bei der Überprüfung vorinstanzlicher Bewertungen angezeigt vgl. BGE 135 II 296 E. 4.4.3; 133 II 35 E. 3; 128 V 159 E. 3b/cc). Offensichtlich haben die Parteien vorliegend geprüft, ob die in (...) und (...) erhältlichen Arzneimittel wirtschaftlich vergleichbare Strukturen im Pharmabereich aufweisen (Art. 35 Abs. 1 KLV). Da vorliegend weder von der Beschwerdeführerin noch von der Vorinstanz bestritten wird, dass B._______ nicht im Ausland im Handel ist und sich aufgrund der eingereichten Unterlagen nichts anderes erkennen lässt, kann im Rahmen der Überprüfung des Preiserhöhungsgesuchs hier keine umfassende Wirtschaftlichkeitsprüfung mit APV und TQV vorgenommen werden. Der Preis ist ausschliesslich auf der Grundlage eines TQV zu beurteilen.</w:t>
      </w:r>
    </w:p>
    <w:p>
      <w:r>
        <w:rPr>
          <w:b/>
        </w:rPr>
        <w:t>E. 5.3</w:t>
      </w:r>
    </w:p>
    <w:p>
      <w:r>
        <w:t>Unter den Parteien ist umstritten, welche Arzneimittel in den TQV im konkreten Fall miteinzubeziehen sind. Dies ist nun im Weiteren zu prüfen.</w:t>
      </w:r>
    </w:p>
    <w:p>
      <w:r>
        <w:rPr>
          <w:b/>
        </w:rPr>
        <w:t>E. 5.3.1</w:t>
      </w:r>
    </w:p>
    <w:p>
      <w:r>
        <w:t>Die Vorinstanz stellt sich auf den Standpunkt, dass der TQV im Rahmen der Überprüfung des Preiserhöhungsgesuchs mit der nicht retardierten Form von B._______ und C._______ richtig erfolgt sei. Beide Arzneimittel enthielten sowohl die gleiche Indikation und den gleichen Hauptwirkstoff J._______. Zudem hätten alle Arzneimittel einen ähnlichen Kombinationswirkstoff, welcher dieselbe Wirkung im Körper entfalte. Anlässlich der Überprüfung der Aufnahmebedingungen alle drei Jahre im Jahr 2013 seien den besonderen Umständen des Arzneimittels B._______ Rechnung getragen worden, indem auch D._______ und E._______ im TQV berücksichtigt worden seien. Mit dem Vorgehen habe das BAG damals gewährleisten können, dass B._______ weiterhin auf dem Schweizer Markt erhältlich bleibe. D._______ (... Angaben zum Wirkstoff) und E._______ (... Angaben zum Wirkstoff) hätten dieselbe Indikation und würden zur Erstlinientherapie des (... Angaben zur Krankheit) angewendet, dennoch unterschieden sie sich hinsichtlich des Wirkstoffs und der Wirkungsweise. Es handle sich dabei um G._______ und nicht um H._______. Die Wirkungsweise von E._______ und D._______ beruhe auf (... Angaben zur Wirkungsweise) und weiche demnach stärker von der Wirkung von B._______ und C._______ ab, welche den Wirkstoff H._______ enthielten. Beide Arzneimittel würden denn auch sehr oft nicht nur als (...)-Therapie sondern in Kombination mit J._______ eingesetzt und seien auch entsprechend zugelassen. Deshalb sei ein Vergleich im Rahmen des Preiserhöhungsgesuchs mit diesen Präparaten nicht angezeigt. Auch habe die Zulassungsinhaberin keine Vergleichsstudie eingereicht, die eine gleichwertige Wirksamkeit von B._______ und E._______ oder D._______ zeigen würde. Deshalb könnten diese Präparate in die Analogie zum TQV bei der Neuaufnahme von B._______ auf die SL nicht für den TQV berücksichtigt werden. B._______ würde nach einer Erhöhung auf den beantragten Preis nicht mehr wirtschaftlich sein. Eine Preiserhöhung würde die bereits bestehende Preisdifferenz zwischen B._______ oder C._______ nicht mehr rechtfertigen, denn diese Differenz zu Gunsten von B._______ sei nur akzeptiert worden, um die Verfügbarkeit von B._______ auf dem Schweizer Markt zu gewährleisten. In ihrer Vernehmlassung sowie der Duplik führt die Vorinstanz ergänzend aus, bei der Durchführung des TQV im Rahmen eines Preiserhöhungsgesuchs halte sich das BAG in erster Linie an die Indikationen gemäss Arzneimittelzulassung durch Swissmedic. Dabei würden einerseits Arzneimittel gleicher Indikation oder Arzneimittel, die ähnlich wirkten, miteinander verglichen. Die Indikationen müssten nicht völlig identisch formuliert sein, doch müssten die Arzneimittel für die gleiche Krankheit oder für mehrere gleiche Krankheiten indiziert sein. Somit sei nicht nur der Behandlungseffekt, welcher der Indikation entspreche, wesentlich, sondern es könne eben auch die Wirkungsweise bzw. der Wirkmechanismus berücksichtigt werden. Sinn und Zweck des TQV sei es, das Kosten-Nutzen-Verhältnis eines Arzneimittels im Vergleich zu einer bestehenden Therapiealternative zu ermitteln und einen möglichst ausgewogenen Vergleich durchzuführen. Ein Abstützen einzig auf die Indikation werde diesem Ziel nicht gerecht. Zudem handle es sich bei D._______ (Aufnahme in die SL im Jahr [...]) und E._______ (Aufnahme in die SL im Jahr [...]) um neuere Arzneimittel, zu deren Hauptwirkstoff keine weiteren Arzneimittel zugelassen seien. J._______ und K._______ hingegen seien sehr alte, seit den [...]er Jahren zugelassene Wirkstoffe, deren Patentschutz längst abgelaufen sei. B._______ sei bereits heute zu einem höheren Preis in der SL aufgeführt als die Vergleichspräparate. Diese Umstände rechtfertigten jedoch keine Preiserhöhung auf das Preisniveau von neueren Arzneimitteln mit neueren Wirkstoffen wie sie von der Beschwerdeführerin verlangt werde. Was den umstrittenen Beizug von B.b._______ in den TQV anbelangt, hält die Vorinstanz vernehmlassungsweise fest, dass nach stetiger Praxis des BAG bei Neuaufnahme- und Preiserhöhungsgesuchen der Preisvergleich innerhalb derselben Gamme durchgeführt werde, damit das Preisgefüge, resp. die Preisrelation übereinstimme. Offensichtlich seien B.b._______ und B._______ unterschiedliche bzw. andere Arzneimittel, ansonsten hätten sie dieselbe Swissmedicnummer, denselben GTIN-Code, dieselbe Dosierung und wären in derselben galenischen Form verfügbar.</w:t>
      </w:r>
    </w:p>
    <w:p>
      <w:r>
        <w:rPr>
          <w:b/>
        </w:rPr>
        <w:t>E. 5.3.2</w:t>
      </w:r>
    </w:p>
    <w:p>
      <w:r>
        <w:t>Die Beschwerdeführerin verlangt im Rahmen der Prüfung ihres Preiserhöhungsgesuchs D._______, E._______ und C._______ in den TQV miteinzubeziehen, da es sich bei diesen Arzneimitteln um solche gleicher Indikation respektive ähnlicher Wirkungsweise handle, die therapeutisch äquivalent seien. Es gehe nicht darum, dass eine Indikation eines Arzneimittels wortwörtlich mit der Indikation eines anderen Arzneimittels übereinstimme, sondern es genüge, wenn es generell bei der gleichen Krankheit angewendet werde. Unter "Wirkungsweise" sei der durch das Arzneimittel im Ergebnis resultierende Behandlungseffekt auf die Krankheit gemeint. Es gehe primär um den gleichen oder ähnlichen Behandlungseffekt des Arzneimittels und erst sekundär um dessen (gleichen oder ähnlichen) Wirkmechanismus, denn anderenfalls könnten Arzneimittel mit unterschiedlichen Wirkstoffen nicht oder nur selten verglichen werden. Im Rahmen des TQV sollte auch geprüft werden, ob zwei Arzneimittel, die auf die Krankheit denselben Effekt hätten, ungefähr dieselben Kosten hätten, es gehe damit primär nicht darum, ob die Arzneimittel im Körper des Patienten denselben oder einen ähnlichen Wirkmechanismus hätten. Irrelevant für den TQV sei insbesondere, ob die Arzneimittel denselben Wirkstoff hätten. Replikweise sowie in ihrer Triplik führt die Beschwerdeführerin aus, sowohl B._______ als auch E._______ und C._______ seien für die Behandlung von (... Angaben zur Krankheit) indiziert, während C._______ und D._______ auch zur Behandlung (... Angaben zur Krankheit) bestimmt seien. Hinzu komme, dass diese Arzneimittel derselben therapeutischen Gruppe angehörten. Sowohl B._______ als auch D._______ und E._______ verfügten über eine ähnliche Wirkungsweise, da beide Präparate die typischen Beschwerden einer (...)-Erkrankung, wie (... Angaben zur Indikation) linderten. Die Indikationen unterschieden sich nur unwesentlich und praktisch nur aufgrund der Formulierung in der Fachinformation. Entscheidend sei bei der Frage, ob ein Arzneimittel für den TQV relevant sei, dessen Indikation; ein unterschiedlicher Wirkungsmechanismus sei unbeachtlich. D._______, E._______ und C._______ riefen die dieselben Behandlungseffekte im Körper hervor wie B._______, weshalb sie auch preislich miteinander verglichen werden könnten, ob sie über einen unterschiedlichen Wirkungsmechanismus verfügten, sei irrelevant. E._______ beispielsweise bewirke durch seinen Wirkmechanismus, dass die Symptome der (... Angaben zur Krankheit) gelindert würden. Dabei sei irrelevant, ob sich es sich, genauso wie D._______, in der pharmakologischen Wirkweise von B._______ unterscheide oder andere Wirkstoffe enthalte. Dem BAG komme kein Ermessen zu, ob ein Arzneimittel in den TQV einzubeziehen sei oder nicht, denn es habe zwei oder mehrere Arzneimittel in die Überprüfung einzubeziehen, wenn diese über dieselben Indikationen oder eine ähnliche Wirkungsweise verfügten. Hinzu komme, dass es nicht der Praxis des BAG entspreche, Vergleichsstudien für einen TQV zu verlangen (act. 14). Zur Frage der Berücksichtigung von B.b._______ in den TQV führt die Beschwerdeführerin aus, dass ein Vergleich mit demselben Arzneimittel gestützt auf die Bestimmungen der KVV und der KLV nicht vorgesehen sei. Ein Vergleich mit (...) B.b._______ scheide damit von vornherein aus.</w:t>
      </w:r>
    </w:p>
    <w:p>
      <w:r>
        <w:rPr>
          <w:b/>
        </w:rPr>
        <w:t>E. 5.4</w:t>
      </w:r>
    </w:p>
    <w:p>
      <w:r>
        <w:t>Es ist nun im Folgenden zu prüfen, ob die Arzneimittel D._______, E._______ und C._______ den rechtlichen Anforderungen an den TQV entsprechen.</w:t>
      </w:r>
    </w:p>
    <w:p>
      <w:r>
        <w:rPr>
          <w:b/>
        </w:rPr>
        <w:t>E. 5.4.1</w:t>
      </w:r>
    </w:p>
    <w:p>
      <w:r>
        <w:t>Bei B._______ sowie bei den von der Beschwerdeführerin für den TQV beantragten Vergleichspräparaten D._______, E._______ und C._______ handelt es sich um verschreibungspflichtige Arzneimittel der Abgabekategorie (...) ([...]; Art. (...) der Arzneimittelverordnung vom 17. Oktober 2001 [VAM, SR 812.212.21]), die in der IT-Gruppe (...) der Spezialitätenliste eingeteilt sind.</w:t>
      </w:r>
    </w:p>
    <w:p>
      <w:r>
        <w:rPr>
          <w:b/>
        </w:rPr>
        <w:t>E. 5.4.2</w:t>
      </w:r>
    </w:p>
    <w:p>
      <w:r>
        <w:t>Zunächst erfolgt ein Überblick über die zur Diskussion stehenden Arzneimittel:</w:t>
      </w:r>
    </w:p>
    <w:p>
      <w:r>
        <w:rPr>
          <w:b/>
        </w:rPr>
        <w:t>E. 5.4.2.1</w:t>
      </w:r>
    </w:p>
    <w:p>
      <w:r>
        <w:t>B._______ ist im Sinne des Heilmittelgesetzes vom 15. Dezember 2000 (HMG, SR 812.21) laut der Fachinformation eine galenische Form von B.b._______ und für die folgenden Indikationen zugelassen: (...Angaben zur Indikation) B._______ enthält die Wirkstoffe: (...) mg J._______ + (...) mg K._______.</w:t>
      </w:r>
    </w:p>
    <w:p>
      <w:r>
        <w:rPr>
          <w:b/>
        </w:rPr>
        <w:t>E. 5.4.2.2</w:t>
      </w:r>
    </w:p>
    <w:p>
      <w:r>
        <w:t>C._______ ist im Sinne des Heilmittelrechts für die folgenden Indikationen zugelassen: (...Angaben zur Indikation) C._______ ([...] Tablette) enthält die Wirkstoffe: L._______ (...) mg (dieses Gewicht entspricht L._______ als [...]), J._______(...) mg in einer (...) Zubereitung.</w:t>
      </w:r>
    </w:p>
    <w:p>
      <w:r>
        <w:rPr>
          <w:b/>
        </w:rPr>
        <w:t>E. 5.4.2.3</w:t>
      </w:r>
    </w:p>
    <w:p>
      <w:r>
        <w:t>D._______ ist heilmittelrechtlich für folgende Indikation zugelassen: (...Angaben zur Indikation) D._______ zu (...) mg, (...) mg, (...) mg, (...) mg und (...) mg enthält den Wirkstoff M.b._______ (entsprechend (...) mg, (...) mg, (...) mg, (...) mg und (...) mg M._______-Base).</w:t>
      </w:r>
    </w:p>
    <w:p>
      <w:r>
        <w:rPr>
          <w:b/>
        </w:rPr>
        <w:t>E. 5.4.2.4</w:t>
      </w:r>
    </w:p>
    <w:p>
      <w:r>
        <w:t>Laut der Fachinformation ist E._______ heilmittelrechtlich für die folgenden Indikationen zugelassen: (...Angaben zur Indikation) E._______ enthält den Wirkstoff N._______.</w:t>
      </w:r>
    </w:p>
    <w:p>
      <w:r>
        <w:rPr>
          <w:b/>
        </w:rPr>
        <w:t>E. 5.4.3</w:t>
      </w:r>
    </w:p>
    <w:p>
      <w:r>
        <w:t>Zu prüfen ist, ob die Auswahl der Vergleichspräparate den rechtlichen Anforderungen entspricht, respektive, ob sie für einen TQV geeignet ist.</w:t>
      </w:r>
    </w:p>
    <w:p>
      <w:r>
        <w:rPr>
          <w:b/>
        </w:rPr>
        <w:t>E. 5.4.3.1</w:t>
      </w:r>
    </w:p>
    <w:p>
      <w:r>
        <w:t>Ein Arzneimittel gilt als wirtschaftlich, wenn es die «indizierte Heilwirkung» mit möglichst geringem finanziellen Aufwand gewährleistet (Art. 65b Abs. 1 KVV). Laut Art. 65b Abs. 2 KVV ist die Wirtschaftlichkeit eines Arzneimittels unter anderem aufgrund des «Vergleichs mit anderen Arzneimitteln» zu beurteilen. In Art. 34 Abs. 2 Bst. b und c KLV wird der Kreis der für den TQV heranzuziehenden Arzneimittel auf solche «gleicher Indikation oder ähnlicher Wirkungsweise» festgelegt.</w:t>
      </w:r>
    </w:p>
    <w:p>
      <w:r>
        <w:rPr>
          <w:b/>
        </w:rPr>
        <w:t>E. 5.4.3.2</w:t>
      </w:r>
    </w:p>
    <w:p>
      <w:r>
        <w:t>Nach der bundesgerichtlichen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w:t>
      </w:r>
    </w:p>
    <w:p>
      <w:r>
        <w:rPr>
          <w:b/>
        </w:rPr>
        <w:t>E. 5.4.3.3</w:t>
      </w:r>
    </w:p>
    <w:p>
      <w:r>
        <w:t>Art. 34 Abs. 2 Bst. b und c KLV sehen keine Priorisierung eines der Auswahlkriterien ("gleiche Indikation", "ähnliche Wirkungsweise") vor. Aus dieser Bestimmung kann zudem nicht abgeleitet werden, dass mit dem TQV entweder ausschliesslich Arzneimittel gleicher Indikation oder ausschliesslich Arzneimittel ähnlicher Wirkungsweise zu vergleichen sind. Art. 34 Abs. 2 Bst. b und c KLV schreibt auch keine primäre und ausschliessliche Berücksichtigung von Arzneimitteln gleicher Indikation vor. Der Vorinstanz steht hinsichtlich des anwendbaren Kriteriums sowie bei der Auswahl der Vergleichspräparate ein weiter Ermessensspielraum zu (vgl. dazu auch Urteil des BVGer C-6875/2014 vom 18. Juli 2016 E. 4.3.3). In diesem Sinn ist Art. 34 Abs. 2 Bst. b und c KLV nicht zu entnehmen, dass die Vorinstanz den TQV unter Anwendung beider Kriterien durchführen muss, wenn im konkreten Fall Arzneimittel mit gleicher Indikation und solche ähnlicher Wirkungsweise vorhanden sind (vgl. Urteil des BVGer C-6252/2014 vom 8. September 2016 E. 8.3 [beim Bundesgericht angefochten]). Es ist daher nicht unzulässig, dass - wie von der Beschwerdeführerin beantragt - für den TQV Vergleichspräparate primär gleicher Indikation heranzuziehen sind (vgl. Urteil des BVGer C-6252/2014 vom 8. September 2016 E. 8.3). Der Begriff der gleichen Indikation erfordert dabei nicht eine absolut identische Indikation der zu vergleichenden Arzneimittel (Urteil des BVGer C-6246/2014 vom 13. Oktober 2016 E. 8.4) Zu prüfen bleibt aber in jedem Einzelfall, ob die Vorinstanz bei der Auswahl der Vergleichspräparate ihr weites Ermessen sachgerecht ausgeübt hat (C-6246/2014 E. 8.3).</w:t>
      </w:r>
    </w:p>
    <w:p>
      <w:r>
        <w:rPr>
          <w:b/>
        </w:rPr>
        <w:t>E. 5.4.4</w:t>
      </w:r>
    </w:p>
    <w:p>
      <w:r>
        <w:t>Die vorliegend zur Diskussion stehenden Arzneimittel E._______, D._______ und C._______ sind in derselben IT-Gruppe (...) (... Angaben zur Krankheit) wie B._______ eingeteilt und unterscheiden sich laut den Fachinformationen in Bezug auf die Indikationen nicht wesentlich von B._______. Während E._______ für die Behandlung von (...) indiziert ist, ist D._______ für die (...) Behandlung der (...) als Monotherapie oder in Kombination mit J._______ indiziert. Ebenso ist C._______ neben der Behandlung des (...) auch für die Behandlung des (...) anwendbar. C._______ verfügt über die zusätzliche Indikation (...). Sowohl C._______ als auch E._______ zeigen Wirkungsverstärkungen in Kombination mit anderen Präparaten. B._______, welches für die Behandlung aller Formen von (...) - mit Ausnahme von (...) - indiziert ist, deckt alle Indikationen der anderen Vergleichspräparate ab. Die Vorinstanz hat denn auch anlässlich der Überprüfung der Aufnahmebedingungen alle drei Jahre die Arzneimittel E._______, D._______ und C._______ für den TQV herangezogen. (BAG-act. 5 [Überprüfung]). Somit sind durch einen Vergleich mit E._______, D._______ und C._______ die zugelassene Indikationen von B._______ dem TQV zugeführt. Da nach der bundesgerichtlichen Rechtsprechung für die Vergleichbarkeit nicht eine absolut identische Indikation gefordert wird (siehe E. 5.6.3 hiervor), ist vorliegend bei allen drei zu Diskussion stehenden Vergleichspräparaten von «gleicher Indikation» in Sinn von Art. 34 Abs. 2 Bst. b und c KLV auszugehen.</w:t>
      </w:r>
    </w:p>
    <w:p>
      <w:r>
        <w:rPr>
          <w:b/>
        </w:rPr>
        <w:t>E. 5.4.5</w:t>
      </w:r>
    </w:p>
    <w:p>
      <w:r>
        <w:t>Die Vorinstanz führte aus, sich in erster Linie an die Indikationen gemäss der Arzneimittelzulassung durch die Swissmedic zu halten, jedoch erachtete sie ein Abstützen einzig darauf als nicht gerechtfertigt (act. 14). Einen Vergleich mit E._______ und D._______ im Rahmen des Preiserhöhungsgesuchs lehnte sie ab, da diese Arzneimittel über andere Wirkstoffe verfügen. Es ist zunächst nicht zu beanstanden, wenn die Vorinstanz im Rahmen des TQV auf die von Swissmedic zugelassenen Indikationen laut der Fachinformationen abstellt (vgl. Urteil des BVGer C-6252/2014 vom 8. September 2016 E. 8.7), zumal ein Arzneimittel nur in den Grenzen der von Swissmedic zugelassenen Indikationen und Anwendungsvorschriften in die Spezialitätenliste aufgenommen werden darf (vgl. Gebhard Eugster, Krankenversicherung, in: Schweizerisches Bundesverwaltungsrecht [SBVR], Band XIV, Soziale Sicherheit, 3. Aufl. 2016, S. 622 Rz. 701). Wie die Vorinstanz weiter richtig festhält, ist für die Auswahl der Vergleichspräparate die gleiche Indikation oder die ähnliche Wirkungsweise entscheidend und somit Ausgangspunkt für den Vergleich. Die Art und Menge des Wirkstoffes sind für sich alleine nicht entscheidend (vgl. BGE 110 V 199 E. 3a). E._______ und D._______ können daher nicht deshalb als Vergleichspräparate ausgeschlossen werden, weil sie über andere Wirkstoffe verfügen sollen, da sie, wie bereits dargelegt, in Bezug auf ihre Indikation vergleichbar sind (vgl. E. 5.6.3). Das von der Vorinstanz zur Begründung des Ausschlusses der - bei der Überprüfung der Aufnahmebedingungen alle drei Jahre im Rahmen des TQV berücksichtigten - Medikamente E._______ und D._______ vorgebrachte Argument, wonach diese für einen Vergleich im Rahmen der Überprüfung des Preiserhöhungsgesuchs nicht geeignet seien, kann gestützt auf die vorliegenden Akten nicht hinreichend nachvollzogen werden. Gemäss den rechtlichen Bestimmungen (vgl. E. 4.6 ff.) ist ein TQV bei der Aufnahme von Arzneimitteln, Gesuchen um Limitationsänderung, Meldungen von Indikationserweiterungen und Preiserhöhungsgesuchen durchzuführen. Weshalb sich die Auswahl der Arzneimittel im Rahmen des TQV für das jeweilige Verfahren unterscheiden sollte, geht weder aus dem Gesetz noch der Rechtsprechung hervor. Die Begründung der Vorinstanz, anlässlich der Überprüfung der Aufnahmebedingungen im Jahr 2013 neben C._______ einen TQV mit E._______ und D._______ durchgeführt zu haben, um eine Preissenkung zu vermeiden und so die Erhältlichkeit von B._______ auf dem Schweizer Markt zu gewährleisten, vermag nicht zu überzeugen. Viel eher hat sich die Vorinstanz von unsachlichen, dem Zweck der massgebenden Vorschriften fremden Erwägungen leiten lassen, denn der TQV dient neben der Beurteilung der Wirtschaftlichkeit auch der Wirksamkeit eines Arzneimittels im Verhältnis zu anderen Arzneimitteln. Die vergleichende Wertung hat zwischen Arzneimitteln zu erfolgen, welche sich mit Bezug auf die Indikation oder die Wirkungsweise nicht wesentlich voneinander unterscheiden. Die Auswahl der Arzneimittel für den TQV ist deshalb nicht davon abhängig, ob ein Gesuch um Preiserhöhung geprüft oder Aufnahmebedingungen überprüft werden. Im Weiteren mag zutreffen, dass E._______ und D._______ neuere Arzneimittel sind und über eine andere Wirkungsweise verfügen als B._______ und C._______, welche seit den 70er Jahren zugelassen sind. Die Beschwerdeführerin wendet dazu ein, dass die Wirkungsweise von G._______ und H._______ ähnlich und dies wissenschaftlich anerkannt sei; jedoch reichte sie - wie von der Vorinstanz ausgeführt - keine entsprechenden Vergleichsstudien, welche eine ähnliche Wirkungsweise und eine vergleichbare Wirksamkeit belegen würden, ein. Da gerade in einem Bereich wie dem vorliegenden, die Vorinstanz einen weiten Ermessenspielraum hat (vgl. E. 5.1.3 hievor), kommt der umfassenden Untersuchung der therapeutischen Vergleichbarkeit und der nachvollziehbaren Begründung durch die Vorinstanz eine hohe Bedeutung zu. Die Beschwerdeführerin hat deshalb in Nachachtung der ihr obliegenden Abklärungspflicht diese Behauptungen durch entsprechende wissenschaftliche Studien zu belegen sowie einlässlich und nachvollziehbar zu begründen. Der blosse Umstand, dass aufgrund der Weiterentwicklung unter anderem des Wirkstoffes eine andere Wirkungsweise der später zugelassenen Medikamente resultiert, schliesst einen TQV nicht von vornherein aus. Schliesslich gilt es zu beachten, dass das BAG im Rahmen des TQV die Wirksamkeit des Arzneimittels einer vergleichenden Wertung der zum gleichen Behandlungszweck zur Verfügung stehender Heilmittel zu unterziehen hat und in Zusammenhang mit den Kosten pro Tag oder Kur im Verhältnis zu den Kosten der anderen Arzneimittel gleicher Indikation oder ähnlicher Wirkungsweise zu setzen hat. Insoweit kann der unterschiedlichen Wirkungsweise durchaus Rechnung getragen werden. Weiter ist festzuhalten, dass die Vergleichspräparate D._______ (Aufnahme in die SL am [...]) und E._______ (Aufnahme in die SL am [...]) im Zeitpunkt des Verfügungserlasses erst vor (...) resp. (...) Jahren, jedoch sowohl C._______ als auch B._______ vor mehr als (...) Jahren in die SL aufgenommen worden sind (vgl. Sachverhalt Ziff. A). Die Vorinstanz hat deshalb bei der Vornahme des TQV mit den noch patentgeschützten Vergleichsarzneimitteln D._______ und E._______ zuvor eine rechnerische Ausscheidung der Toleranzmarge und eines allfälligen Innovationszuschlags vorzunehmen, um so dem Umstand, dass das nicht mehr patentgeschützte B._______ mit D._______ und E._______ verglichen wird, Rechnung zu tragen (vgl. dazu BGE 142 V 368 E. 5.2.4).</w:t>
      </w:r>
    </w:p>
    <w:p>
      <w:r>
        <w:rPr>
          <w:b/>
        </w:rPr>
        <w:t>E. 5.5</w:t>
      </w:r>
    </w:p>
    <w:p>
      <w:r>
        <w:t>Weiter führte die Vorinstanz aus, bei Neuaufnahme- und Preiserhöhungsgesuchen habe ein Preisvergleich vor allem mit den anderen Formen des betreffenden Arzneimittels, vorliegend B.b._______, zu erfolgen. Zudem handle es sich bei den Arzneimitteln B.b._______ und B._______ um unterschiedliche bzw. andere Arzneimittel. Gemäss der Fachinformation von B.b._______ stellt B._______ eine galenische Form von B.b._______ dar. Unter "Eigenschaften/Wirkungen" wird präzisiert, dass es sich um eine spezielle galenische Form handle, die (... Angaben zur Wirkungsweise) bewirke. (... Angaben zur Wirkungsweise). Bei B._______ sei gegenüber den Standardformulierungen (... Angaben zur Wirkungsweise). Somit handelt es sich bei B._______ um eine andere galenische Form desselben Arzneimittels (B.b._______) und nicht um ein anderes Arzneimittel. Aus den gesetzlichen Bestimmungen betreffend die Beurteilung der Wirtschaftlichkeit von Arzneimitteln geht klar hervor, dass das zu überprüfende Arzneimittel mit anderen Arzneimitteln verglichen, sowie dessen Wirksamkeit im Verhältnis zu anderen Arzneimitteln gleicher Indikation und Wirkungsweise berücksichtigt wird (65b Abs. 2 Bst. b KVV i.V.m. Art. 34 Abs. 2 KLV). Es besteht keine rechtliche Grundlage, welche bei Preiserhöhungsgesuchen einen Vergleich mit demselben Arzneimittel zulassen würde. Demzufolge ist B.b._______ bei der Prüfung des Preiserhöhungsgesuchs nicht in den TQV von B._______ miteinzubeziehen.</w:t>
      </w:r>
    </w:p>
    <w:p>
      <w:r>
        <w:rPr>
          <w:b/>
        </w:rPr>
        <w:t>E. 5.6</w:t>
      </w:r>
    </w:p>
    <w:p>
      <w:r>
        <w:t>Hingegen ist vorliegend nicht abgeklärt worden, ob weitere Arzneimittel für den TQV geeignet sind (bspw. [...]). Die Vorinstanz hat demzufolge im Rahmen der Überprüfung der Wirtschaftlichkeit von B._______ - im Hinblick auf ihre Pflicht zur vollständige Abklärung des rechtserheblichen Sachverhalts - zu prüfen, ob weitere Vergleichspräparate in den TQV einzubeziehen sind (z.B. [...]).</w:t>
      </w:r>
    </w:p>
    <w:p>
      <w:r>
        <w:rPr>
          <w:b/>
        </w:rPr>
        <w:t>E. 5.7</w:t>
      </w:r>
    </w:p>
    <w:p>
      <w:r>
        <w:t>Die Beschwerdeführerin macht weiter geltend, die Vorinstanz habe den Sachverhalt im Sinne von Art. 49 lit. b VwVG unrichtig festgestellt. Sie bringt in Zusammenhang mit der Prüfung des Preiserhöhungsgesuchs replikweise vor, dass der Preis von C._______ lediglich gestützt auf den APV gesenkt worden und somit rechtswidrig sei. Damit habe das BAG bei der Beurteilung der Wirtschaftlichkeit von B._______ einen rechtswidrig zustande gekommenen Preis für die Verweigerung einer Preiserhöhung herangezogen. Diesbezüglich ist festzuhalten, dass der Preis von C._______ unangefochten in Rechtskraft getreten und somit rechtens ist. Die diesbezügliche Rüge der Beschwerdeführerin erweist sich als unbegründet.</w:t>
      </w:r>
    </w:p>
    <w:p>
      <w:r>
        <w:rPr>
          <w:b/>
        </w:rPr>
        <w:t>E. 5.8</w:t>
      </w:r>
    </w:p>
    <w:p>
      <w:r>
        <w:t>Aus dem Gesagten ergibt sich, dass die Vorinstanz die Aufnahmebedingungen von B._______ im Rahmen des Preiserhöhungsgesuchs nicht rechtskonform überprüft hat. Die Streitsache ist deshalb an die Vorinstanz zurückzuweisen, damit diese im Sinne der Erwägungen die Wirtschaftlichkeit von B._______ überprüft, wobei sie beim Vergleich mit den Arzneimitteln D._______ und E._______ zuvor rechnerisch die allfällige Toleranzmarge und einen allfälligen Innovationszuschlag auszuscheiden hat. Im Weiteren hat die Vorinstanz einlässlich abzuklären und zu begründen, ob und gegebenenfalls mit welchen weiteren Medikamenten ein TQV durchgeführt werden kann. Eine Prüfung der geltend gemachten Verletzungen der Grundsätze von Treu und Glauben, des Rechtsgleichheitsgebots sowie von weiterem Bundesrecht erübrigt sich.</w:t>
      </w:r>
    </w:p>
    <w:p>
      <w:r>
        <w:rPr>
          <w:b/>
        </w:rPr>
        <w:t>E. 6</w:t>
      </w:r>
    </w:p>
    <w:p>
      <w:r>
        <w:t>Zusammengefasst ergibt sich, dass die Beschwerde gutzuheissen, die angefochtene Verfügung vom 14. Oktober 2014 aufzuheben und die Streitsache zur eingehenden Prüfung des Preiserhöhungsgesuchs an die Vorinstanz zurückzuweisen ist.</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7.2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w:t>
      </w:r>
    </w:p>
    <w:p>
      <w:r>
        <w:rPr>
          <w:b/>
        </w:rPr>
        <w:t>E. 7.3</w:t>
      </w:r>
    </w:p>
    <w:p>
      <w:r>
        <w:t>Die Rechtsvertreter haben vorliegend mit Schreiben vom 18. Mai 2016 eine Kostennote mit einem geltend gemachten Arbeitsaufwand von 36 Stunden, abgerechnet zu einem Stundenansatz von Fr. 300.-, und einem Betrag von Fr. 12'069.- (inkl. MWST von Fr. 894.- und Auslagen von insgesamt Fr. 375.-) eingereicht (Beilage 1 zu act. 26). Der verrechnete Stundenansatz ist angemessen und daher nicht zu beanstanden. Weiter machen die Rechtsvertreter bis zum Stadium der Einreichung der Beschwerde einen Zeitaufwand von 16 Stunden geltend. Ein solcher Aufwand erscheint in Anbetracht der tatsächlichen und rechtlichen Besonderheiten sachlich begründet und gerechtfertigt. Für das Verfassen der Replik machen die Rechtsvertreter einen Aufwand von 15.10 Stunden geltend; für die Triplik einen solchen von 4.90 Stunden. In der Replik sowie der Triplik werden jedoch streckenweise die bereits vorgebrachten Argumente wiederholt. Für deren Abfassung und die damit direkt zusammenhängenden Vorbereitungsarbeiten sowie für den Arbeitsaufwand im Rahmen der Stellungnahme vom 28. September 2017 erscheint ein Aufwand von insgesamt 19.5 Stunden als notwendig und angemessen. Unter Berücksichtigung des gebotenen und aktenkundigen Anwaltsaufwands ist die Entschädigung der Rechtsvertretung auf Fr. 12'000.- festgesetzt (rund 35.5 Stunden zu einem Stundenansatz von Fr. 300.- inkl. als angemessen zu erachtende Auslagen in Höhe von rund Fr. 375.- sowie der MWST [vgl. dazu Urteile des BVGer C-5488/2012 vom 4. Februar 2016 E. 7.2 und A-4556/2011 vom 27. März 2012 E.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