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C-6554/2014 vom 8. Juni 2015</w:t>
      </w:r>
    </w:p>
    <w:p>
      <w:r>
        <w:t>Bundesverwaltungsgericht, 2015-06-08, FR</w:t>
      </w:r>
    </w:p>
    <w:p>
      <w:r>
        <w:rPr>
          <w:b/>
        </w:rPr>
        <w:t xml:space="preserve">Quelle: </w:t>
      </w:r>
      <w:r>
        <w:t>https://mcp.opencaselaw.ch/entscheid/bvger_C-6554_2014</w:t>
      </w:r>
    </w:p>
    <w:p>
      <w:r>
        <w:t>FR: TAF C-6554/2014 du 8 juin 2015</w:t>
      </w:r>
    </w:p>
    <w:p>
      <w:r>
        <w:t>IT: TAF C-6554/2014 del 8 giugno 2015</w:t>
      </w:r>
    </w:p>
    <w:p>
      <w:pPr>
        <w:pStyle w:val="Heading2"/>
      </w:pPr>
      <w:r>
        <w:t>Regeste</w:t>
      </w:r>
    </w:p>
    <w:p>
      <w:r>
        <w:t>Cas individuels d'une extrême gravité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ressort de ce qui précède que la décision querellée est conforme au droit (cf. art. 49 PA).</w:t>
      </w:r>
    </w:p>
    <w:p>
      <w:r>
        <w:rPr>
          <w:b/>
        </w:rPr>
        <w:t>E. 6.1</w:t>
      </w:r>
    </w:p>
    <w:p>
      <w:r>
        <w:t>Le recours est en conséquence rejeté, dans la mesure où il est receva­ble.</w:t>
      </w:r>
    </w:p>
    <w:p>
      <w:r>
        <w:rPr>
          <w:b/>
        </w:rPr>
        <w:t>E. 6.2</w:t>
      </w:r>
    </w:p>
    <w:p>
      <w:r>
        <w:t>Vu l'issue de la cause, les frais de procédure sont mis à la charge du recourant (cf. art. 63 al. 1 PA et art. 1ss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