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C-6552/2018 vom 17. Dezember 2019</w:t>
      </w:r>
    </w:p>
    <w:p>
      <w:r>
        <w:t>Bundesverwaltungsgericht, 2019-12-17, DE</w:t>
      </w:r>
    </w:p>
    <w:p>
      <w:r>
        <w:rPr>
          <w:b/>
        </w:rPr>
        <w:t xml:space="preserve">Quelle: </w:t>
      </w:r>
      <w:r>
        <w:t>https://mcp.opencaselaw.ch/entscheid/bvger_C-6552_2018</w:t>
      </w:r>
    </w:p>
    <w:p>
      <w:r>
        <w:t>FR: TAF C-6552/2018 du 17 décembre 2019</w:t>
      </w:r>
    </w:p>
    <w:p>
      <w:r>
        <w:t>IT: TAF C-6552/2018 del 17 dicembre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und der Kostenvorschuss fristgerecht geleistet wurde, ist auf die Beschwerde einzutreten.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31. Oktober 2018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31. Oktober 2018) eingetretenen Sachverhalt ab (BGE 132 V 215 E. 3.1.1). Tatsachen, die jenen Sachverhalt seither verändert haben, sollen im Normalfall Gegenstand einer neuen Verwaltungsverfügung sein (BGE 121 V 362 E. 1b).</w:t>
      </w:r>
    </w:p>
    <w:p>
      <w:r>
        <w:rPr>
          <w:b/>
        </w:rPr>
        <w:t>E. 2.4</w:t>
      </w:r>
    </w:p>
    <w:p>
      <w:r>
        <w:t>Der Beschwerdeführer ist Staatsangehöriger von Serbien und hat dort seinen Wohnsitz. Es kommt das im Verhältnis zu Serbien bis heute gültige Abkommen vom 8. Juni 1962 zwischen der Schweizerischen Eidgenossenschaft und der Föderativen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0.831.109.808.12) keine im vorliegenden Verfahren relevanten Abweichungen vom Grundsatz der Gleichstellung vor. Demnach beurteilt sich der Anspruch des Beschwerdeführers auf eine Rente der schweizerischen Invalidenversicherung allein aufgrund der schweizerischen Rechtsvorschriften (vgl. Art. 4 des Sozialversicherungsabkommens).</w:t>
      </w:r>
    </w:p>
    <w:p>
      <w:r>
        <w:rPr>
          <w:b/>
        </w:rPr>
        <w:t>E. 3.1</w:t>
      </w:r>
    </w:p>
    <w:p>
      <w:r>
        <w:t>Der Beschwerdeführer hat während mehr als drei Jahren Beiträge im Sinn von Art. 36 Abs. 1 IVG geleistet, so dass die Anspruchsvoraussetzung der Mindestbeitragsdauer erfüllt ist (IV-act. 8).</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Ausgangspunkt der Anspruchsprüfung nach Art. 4 Abs. 1 IVG sowie Art. 6 ff. ATSG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3.4</w:t>
      </w:r>
    </w:p>
    <w:p>
      <w:r>
        <w:t>Es ist dem klaren Willen des Gesetzgebers gemäss Art. 7 Abs. 2 ATSG Rechnung zu tragen, wonach im Zuge einer objektivierten Betrachtungsweise von der grundsätzlichen "Validität" der versicherten Person auszugehen ist (BGE 141 V 281 E. 3.7.2). Die Sachverständigen sollen die Diagnose so begründen, dass die Rechtsanwender nachvollziehen können, ob die klassifikatorischen Vorgaben tatsächlich eingehalten sind (BGE 143 V 124 E. 2.2.2, 141 V 281 E. 2.1.1). Gemäss höchstrichterlicher Rechtsprechung erfolgt die Prüfung, ob ein psychischer Gesundheitsschaden eine rentenbegründende Invalidität zu bewirken vermag, schliesslich anhand eines strukturierten normativen Prüfungsrasters (BGE 143 V 418 E. 7, 141 V 281 E. 4.1). Dies gilt für sämtliche psychischen Störungen (BGE 143 V 418 E. 7.2).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Nicht per se auf Aggravation weist blosses verdeutlichendes Verhalten hin.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zurückzuführen wäre, fällt eine versicherte Gesundheitsschädigung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Gesundheitsschädigung (BGE 127 V 294 E. 5a) auftreten, sind deren Auswirkungen derweil im Umfang der Aggravation zu bereinigen (BGE 141 V 281 E. 2.1.1 und E. 2.2).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Es gilt im Regelfall nach gemeinsamen Eigenschaften systematisierte Standardindikatoren zu beachten (E. 4.1.3), welche sich in die Kategorien "funktioneller Schweregrad" (E. 4.3) und "Konsistenz" einteilen lassen (E. 4.4). Der Prüfungsraster ist rechtlicher Natur (E. 5).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(E. 6).</w:t>
      </w:r>
    </w:p>
    <w:p>
      <w:r>
        <w:rPr>
          <w:b/>
        </w:rPr>
        <w:t>E. 3.5</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w:t>
      </w:r>
    </w:p>
    <w:p>
      <w:r>
        <w:rPr>
          <w:b/>
        </w:rPr>
        <w:t>E. 3.7</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Juli 2015 (vgl. IV-act. 99) eingereichten Anmeldung ein Leistungsanspruch frühestens ab Januar 2016 zu prüfen.</w:t>
      </w:r>
    </w:p>
    <w:p>
      <w:r>
        <w:rPr>
          <w:b/>
        </w:rPr>
        <w:t>E. 3.8.1</w:t>
      </w:r>
    </w:p>
    <w:p>
      <w:r>
        <w:t>Wurde eine Rente wegen eines zu geringen Invaliditätsgrades verweigert, so wird nach Art. 87 Abs. 3 IVV eine neue Anmeldung nur geprüft, wenn die Voraussetzungen gemäss Abs. 2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3.8.2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Urteil des Bundesgerichts [BGer] I 658/05 vom 27. März 2006 E. 4.4) - ist die unterschiedliche Beurteilung eines im Wesentlichen unverändert gebliebenen Sachverhaltes unerheblich (BGE 112 V 371 E. 2b mit Hinweisen; SVR 1996 IV Nr. 70 E. 3a).</w:t>
      </w:r>
    </w:p>
    <w:p>
      <w:r>
        <w:rPr>
          <w:b/>
        </w:rPr>
        <w:t>E. 3.9</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Wie erwähnt - sind die vorstehenden Ausführungen, welche sich auf die Rentenrevision beziehen, analog auf die Beurteilung einer Neuanmeldung anzuwenden (vgl. E. 3.8 hiervor).</w:t>
      </w:r>
    </w:p>
    <w:p>
      <w:r>
        <w:rPr>
          <w:b/>
        </w:rPr>
        <w:t>E. 4</w:t>
      </w:r>
    </w:p>
    <w:p>
      <w:r>
        <w:t>Vorliegend ist die IVSTA auf die Neuanmeldung des Beschwerdeführers eingetreten und hat den Sachverhalt abgeklärt. Gemäss den soeben dargelegten Grundsätzen ist somit massgebend, ob sich der Gesundheitszustand des Beschwerdeführers seit der rechtskräftigen Verfügung vom 28. Januar 2008 bis zum Zeitpunkt der vorliegend angefochtenen Verfügung vom 31. Oktober 2018 in rentenanspruchserheblicher Weise verschlechtert hat und, falls ja, wie hoch sein Invaliditätsgrad ist.</w:t>
      </w:r>
    </w:p>
    <w:p>
      <w:r>
        <w:rPr>
          <w:b/>
        </w:rPr>
        <w:t>E. 4.1</w:t>
      </w:r>
    </w:p>
    <w:p>
      <w:r>
        <w:t>Die Verfügung vom 28. Januar 2008 stützte sich im Wesentlichen auf das polydisziplinäre Gutachten des E._______ vom 12. Juni 2007 (IV-act. 37 S. 3 ff.) sowie die Stellungnahme von Dr. med. D._______, Facharzt für Psychiatrie und Psychotherapie beim RAD, vom 18. Juni 2007. Dem Gutachten des E._______ sind folgende Diagnosen zu entnehmen: 1) Adipositas, 2) chronifiziertes cervico-cephales Schmerzsyndrom mit/bei Status nach HWS-Traumatisierung 03/2003, mässigen degenerativen Diskopathien bei C3/C4 und C5/C6 und Status nach Contusio corporis 03/2003, 3) chronische Kopfschmerzen, multifaktoriell bedingt: initial postcommotionelles Kopfweh bei Status nach Contusio capitis und möglicher Commotio cerebri 03/2003, Phänomenologisch chronisches Spannungstypkopfweh, aktuell: analgetikainduzierte Kopfschmerzen, 4) chronisches cervikales Schmerzsyndrom, Status nach HWS-Distorsionstrauma 03/2003, degenerative HWS-Veränderungen, 5) anhaltende somatoforme Schmerzstörung (F45.4) und 6) sonstige rezidivierende depressive Störungen (F33.8) mit Regressionstendenz und Selbstlimitierung. Die Gutachter des E._______ attestierten dem Beschwerdeführer eine volle Arbeitsunfähigkeit seit dem Unfall im März 2003. Weiter führten sie aus, rein theoretisch bestünde seit Sommer 2003 in Verweistätigkeiten eine Arbeitsfähigkeit von 50 %. Allerdings müsste sich der Beschwerdeführer zuerst therapeutischen Massnahmen unterziehen, um diese Arbeitsfähigkeit tatsächlich verwerten zu können. Dr. med. D._______, Facharzt für Psychiatrie und Psychotherapie beim RAD, hielt in seiner Beurteilung vom 18. Juni 2007 (IV-act. 38) fest, ein medizinisches Substrat mit klarer Auswirkung auf die Arbeitsfähigkeit sei auf der diagnostischen Ebene nicht plausibel erstellt, es sei deshalb nicht vom Vorliegen einer erheblichen psychischen Störung der nötigen Art und Schwere auszugehen. Vielmehr lägen neben einer milden psychischen Störung psychosoziale, IV-fremde Faktoren sowie bewusstseinsnahe auffällige Verhaltensweisen in einem sehr hohen Mass vor, die klar überwiegen würden und somit selbsterklärend seien. Es liege somit weder eine somatische noch eine psychiatrische Störung mit Krankheitswert respektive mit Auswirkung auf die Arbeitsfähigkeit vor.</w:t>
      </w:r>
    </w:p>
    <w:p>
      <w:r>
        <w:rPr>
          <w:b/>
        </w:rPr>
        <w:t>E. 4.2</w:t>
      </w:r>
    </w:p>
    <w:p>
      <w:r>
        <w:t>Anlässlich der Neuanmeldung sind folgende Berichte zu würdigen:</w:t>
      </w:r>
    </w:p>
    <w:p>
      <w:r>
        <w:rPr>
          <w:b/>
        </w:rPr>
        <w:t>E. 4.2.1</w:t>
      </w:r>
    </w:p>
    <w:p>
      <w:r>
        <w:t>Gemäss dem ärztlichen Bericht von Dr. med. F._______, Facharzt für Psychiatrie, und von Dr. med. G._______, Fachärztin für Neuropsychiatrie, vom 8. Dezember 2016 (IV-act. 99) liegen beim Beschwerdeführer folgende Beeinträchtigungen vor: eine rezidivierende depressive Störung, gegenwärtig mittelgradige Episode (ICD-10 F33.1), ein posttraumatischer Kopfschmerz und «psychogenes susp.». In Bezug auf die Arbeitsfähigkeit führten sie aus, es bestehe keine vollständige Arbeitsunfähigkeit und im Übrigen sei die Behandlung noch nicht abgeschlossen, sodass im aktuellen Zeitpunkt keine definitive Beurteilung der Arbeitsfähigkeit möglich sei. Die Arbeitsfähigkeit sei nach Abschluss der notwendigen Behandlungen zu beurteilen.</w:t>
      </w:r>
    </w:p>
    <w:p>
      <w:r>
        <w:rPr>
          <w:b/>
        </w:rPr>
        <w:t>E. 4.2.2</w:t>
      </w:r>
    </w:p>
    <w:p>
      <w:r>
        <w:t>Dem Bericht von Mr. sci. H._______, Spezialistin für medizinische Psychologie, vom 31. August 2017 (IV-act. 149) sind folgende Diagnosen zu entnehmen: Cephalgia traumatica, St. post contusionem cerebri, Hirnorganisches Psychosyndrom, Posttraumatische Stressstörung in obs und St. post tentamen suicidi. Mr. Sci. H._______ hielt als Schlussfolgerung fest, «die aktuelle neurologische Einschätzung zeige einen globalen und diffusen Rückgang der Fähigkeit (MMSE [Mini-Mental State Examination] 20/30). Das neuropsychologische Bild entspreche am ehesten einem frontalen hypokinetischen Syndrom. Das präsentierte Defizit sei durch Schwierigkeiten der Motivation und durch ungleichmässige Investierung des Prüfers vermittelt (möglich auch im Rahmen des Affekts, der eher abgeflacht als depressiv imponiert).» Angaben zu konkreten Einschränkungen der Arbeitsfähigkeit lassen sich dem Bericht nicht entnehmen.</w:t>
      </w:r>
    </w:p>
    <w:p>
      <w:r>
        <w:rPr>
          <w:b/>
        </w:rPr>
        <w:t>E. 4.2.3</w:t>
      </w:r>
    </w:p>
    <w:p>
      <w:r>
        <w:t>Dr. med. I._______, Facharzt für Psychiatrie und Psychotherapie beim RAD, hielt in seinen die aktenkundigen Arztberichte zusammenfassenden und würdigenden Stellungnahmen vom 11. Oktober 2017 (IV-act. 148) und vom 15. Februar 2018 (IV-act. 151) folgende Nebendiagnosen ohne Auswirkungen auf die Arbeitsfähigkeit fest: chronische Kopfschmerzen, multifaktoriell bedingt und analgetikainduzierte Kopfschmerzen, Status nach HWS-Distorsionstrauma 03/2003 und degenerative HWS-Veränderungen, Angst und depressive Störung gemischt und Medikamenten-Missbrauch/-Abhängigkeit. In Beurteilung des Falles führte Dr. med. I._______ aus, das in den serbischen Verlaufsberichten diagnostizierte Hirnorganische Psychosyndrom (ICD-10 F06.2) liege nicht vor, da weder aufgrund eines objektiven Nachweises (körperliche, neurologische oder laborchemische Untersuchungen) noch aufgrund der Anamnese einer cerebralen Krankheit, Schädigung oder Funktionsstörung oder einer systemischen Krankheit, von welcher bekannt sei, dass sie eine cerebrale Funktionsstörung verursachen könne, auf das Vorliegen eines Hirnorganischen Psychosyndroms geschlossen werden könne. Auch die Angaben zur dreitägigen Bewusstlosigkeit beim Verkehrsunfall im Jahr 2003 beruhten lediglich auf den Angaben des Beschwerdeführers; in den Arztberichten fänden sich keine Hinweise für eine längere Bewusstlosigkeit. Eine Posttraumatische Belastungsstörung könne ebenso wenig zugrunde gelegt werden, da die typische Symptomatik aus den Berichten nicht hervorgehe. Ausserdem würden in den Berichten aus Serbien depressive Verstimmungszustände mit reaktiver und psychogen überlagerter Symptomatik beschrieben, ohne dass daraus eine eigenständige depressive Episode erkennbar werde. Aufgrund der Symptomatik sei vielmehr von einer chronifizierten Anpassungsstörung, so wie sie bereits in früheren Berichten und Untersuchungen festgestellt worden war, mit erlebnisreaktiven und stark somatisierten Anteilen, wobei zusätzlich die belastende, unfallfremde familiäre Situation zu berücksichtigen sei, und dass das psychische Zustandsbild durch die beruflichen und auch finanziellen Folgen nach dem Unfall stark mitgeprägt worden sei. Insgesamt lasse sich gegenüber dem Gesundheitszustand im Jahr 2008 keine wesentliche Änderung feststellen. In der Stellungnahme vom 6. Juli 2018 (IV-act. 161) führte er in Bezug auf die neu eingereichten medizinischen Berichte aus, diese seien im Umfang und Inhalt äusserst spärlich und oberflächlich, mit nur vagen Angaben zu Verlauf, aktueller Symptomatik und Befund, sodass an den bisherigen Beurteilungen vom 11. Oktober 2017 und vom 15. Februar 2018 festzuhalten sei.</w:t>
      </w:r>
    </w:p>
    <w:p>
      <w:r>
        <w:rPr>
          <w:b/>
        </w:rPr>
        <w:t>E. 4.3</w:t>
      </w:r>
    </w:p>
    <w:p>
      <w:r>
        <w:t>Im Rahmen der Neuanmeldung hat der Beschwerdeführer einige neue medizinische Verlaufsberichte eingereicht. Weiter holte die Vorinstanz beim serbischen Sozialversicherungsträger einen von einem Psychiater und einer Neuropsychiaterin erstellten Bericht ein und liess schliesslich die ganze Dokumentation durch den RAD-Arzt Dr. med. I._______ beurteilen. Dieser fasste die Akten zusammen und nahm eine fachärztliche Würdigung der vorhandenen Dokumente vor. Nachfolgend ist zu prüfen, ob aufgrund dieser Dokumente eine Verschlechterung des Gesundheitszustands nachgewiesen ist. Dr. med. F._______, Facharzt für Psychiatrie, und Dr. med. G._______, Fachärztin für Neuropsychiatrie, listen im Bericht vom 8. Dezember 2016 zu Handen des serbischen Sozialversicherungsträgers die Diagnosen auf und äussern sich insofern zur Arbeitsfähigkeit, dass keine vollständige Arbeitsunfähigkeit vorliege, aber die genaue Bestimmung der Arbeitsfähigkeit erst nach Behandlungsabschluss erfolgen könne. Es findet sich im Bericht keine Gegenüberstellung des vergangenen und des aktuellen Zustandes. Die Formulierung im Bericht («Suit le traitement multidisciplinaire en Suisse, la documentation médicale n'est pas disponible.») deutet darauf hin, dass die Ärzte keinen Zugang zu den Vorakten hatten, sodass ein Vergleich des damaligen Gesundheitszustandes mit dem aktuellen Gesundheitszustand nicht möglich war. Auch in den weiteren Berichten, insbesondere in den Verlaufsberichten des behandelnden Neuropsychiaters Dr. med. J._______ finden sich keine verwertbaren Angaben zum Verlauf respektive zu einer allfälligen Veränderung, da dieser lediglich von einer «Zunahme der Störungen» spricht. Unter diesen Voraussetzungen kann nicht auf die Stellungnahme des RAD-Arztes abgestellt werden, da dieser keine genügenden medizinischen Grundlagen hatte, um sich ein fundiertes Bild über die Entwicklung des Gesundheitszustands des Beschwerdeführers zu machen. Weiter ist darauf hinzuweisen, dass sich die IV-Stelle im Zeitpunkt der Rentenzusprache vom 28. Januar 2008 auf ein polydisziplinäres Gutachten abgestützt hat. In diesem wurden orthopädische, neurologische und psychiatrische Einschränkungen festgestellt. Es drängt sich somit auf, den Gesundheitszustand des Beschwerdeführers auch im heutigen Vergleichszeitpunkt wiederum umfassend abzuklären. Es reicht nicht, lediglich (neuro-)psychiatrische Berichte einzuholen, um den Gesundheitszustand zu erfassen. Angesichts der Aktenlage wäre somit eine polydisziplinäre Untersuchung durchzuführen gewesen, um den aktuellen Gesundheitszustand des Beschwerdeführers sowie allfällige medizinische Veränderungen gegenüber dem Vergleichszeitpunkt im Jahr 2008 rechtsgenüglich abzuklären. Aufgrund der Aktenlage ist mit überwiegender Wahrscheinlichkeit davon auszugehen, dass beim Beschwerdeführer psychische Störungen in irgendeiner Form vorliegen, da Mr. sci. H._______ einen Status nach Suizidversuch erwähnt und viele Berichte von Dr. med. J._______ vorhanden sind, die darauf hindeuten, dass sich der Beschwerdeführer in den letzten Jahren regelmässig behandeln liess. Nach dem Dargelegten ist zusammenfassend festzustellen, dass der rechtserhebliche Sachverhalt nicht rechtsgenüglich abgeklärt und gewürdigt worden ist. Die vorliegenden medizinischen Berichte und Stellungnahmen vermögen mit Blick auf die gesamtmedizinische Situation mangels voller Beweiskraft keine abschliessende Beurteilungsgrundlage zu bilden, sondern geben Anlass zu weitergehenden Abklärungen (vgl. Urteil des BGer 9C_58/2011 vom 25. März 2011 E. 3.3; zum gegenteiligen Fall resp. zur antizipierten Beweiswürdigung vgl. BGE 136 I 229 E. 5.3; vgl. auch BGE 122 V 157 E. 1d; SVR 2005 IV Nr. 8 S. 37 E. 6.2, 2003 AHV Nr. 4 S. 11 E. 4.2.1; vgl. zum Ganzen auch Urteil des BGer 8C_189/2008 vom 4. Juli 2008 E. 5 mit Hinweisen). Insbesondere bei Vorliegen von psychischen Störungen ist es gemäss bundesgerichtlicher Rechtsprechung unerlässlich, die Arbeitsfähigkeit anhand eines strukturierten normativen Prüfungsrasters im Sinne von BGE 141 V 281 zu ermitteln. Die damit verbundene Rückweisung der Sache in Nachachtung des Untersuchungsgrundsatzes (Art. 43 Abs. 1 ATSG) an die Vorinstanz zur weiteren Abklärung ist möglich, da einerseits kein umfassendes, von der Vorinstanz eingeholtes polydisziplinäres Administrativgutachten vorliegt und andererseits eine Verlagerung der Expertentätigkeit von der administrativen auf die gerichtliche Ebene sachlich nicht wünschbar ist (vgl. BGE 137 V 210 E. 4.2). Auf die Durchführung einer Verlaufsbegutachtung in der Schweiz kann unter diesen Umständen nicht verzichtet werden. Da mit Blick auf die Akten vorliegend neurologische, orthopädische und psychische Beeinträchtigungen zusammenwirken, hat diese Begutachtung durch entsprechend ausgebildete Fachärztinnen und Fachärzte polydisziplinär zu erfolgen. Im Rahmen der notwendigen medizinischen Begutachtung sind von den Expertinnen und Experten sämtliche bisher verfassten ärztlichen Berichte zu würdigen. Ferner haben sich die Expertinnen und Experten zur Arbeits- respektive Leistungsfähigkeit zu äussern. Gemäss BGE 142 V 281 soll dabei nicht die Diagnose, sondern der Nachweis der Behinderung mit Hilfe von Indikatoren im Fokus der Begutachtung stehen.</w:t>
      </w:r>
    </w:p>
    <w:p>
      <w:r>
        <w:rPr>
          <w:b/>
        </w:rPr>
        <w:t>E. 5</w:t>
      </w:r>
    </w:p>
    <w:p>
      <w:r>
        <w:t>Aufgrund der vorstehenden Erwägungen ist die Beschwerde vom 19. November 2018 gutzuheissen und die Verfügung vom 31. Oktober 2018 aufzuheben. Die Vorinstanz ist in Anwendung von Art. 61 Abs. 1 VwVG anzuweisen, unter Berücksichtigung sämtlicher aktenkundiger Arztberichte sowie nach Aktualisierung des medizinischen Dossiers eine umfassende interdisziplinäre medizinische Begutachtung des Beschwerdeführers zu veranlassen zur Klärung der Fragen, welche gesundheitlichen Beeinträchtigungen mit welchen Auswirkungen auf die funktionelle Leistungs- und Arbeitsfähigkeit des Beschwerdeführers im Januar 2008 und im Verfügungszeitpunkt (31. Oktober 2018) in der bisherigen und in einer angepassten Tätigkeit bestanden. Die Gutachter haben sich explizit zur Frage zu äussern, ob und in welchem Ausmass sich der Gesundheitszustand des Beschwerdeführers im Vergleich der beiden Zeitpunkte verändert hat und wie sich dies auf seine Arbeitsfähigkeit auswirkt. Aufgrund der medizinischen Aktenlage geboten erscheint ein polydisziplinäres Gutachten in den Fachdisziplinen Neurologie, Orthopädie und Psychiatrie (letztere unter Berücksichtigung der Standardindikatoren gemäss neuer bundesgerichtlicher Rechtsprechung, BGE 143 V 418; 143 V 409; 141 V 281). Ob neben den genannten Fachdisziplinen allenfalls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Der einbezahlte Kostenvorschuss in der Höhe von Fr. 800.- ist dem Beschwerdeführer nach Eintritt der Rechtskraft des vorliegenden Urteils auf ein von ihm bekannt zu gebendes Konto zurückzuerstatten. Einer unterliegenden Vorinstanz sind gemäss Art. 63 Abs. 2 VwVG ebenso wenig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berufsmässig vertreten, weshalb ihm zu Lasten der unterliegenden Vorinstanz eine Parteientschädigung zuzusprechen ist. Da keine Kostennote eingereicht wurde, ist die Parteientschädigung unter Berücksichtigung des aktenkundigen und gebotenen Aufwands auf Fr. 800.- festzusetzen.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