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C-6547/2009 vom 20. März 2012</w:t>
      </w:r>
    </w:p>
    <w:p>
      <w:r>
        <w:t>Bundesverwaltungsgericht, 2012-03-20, DE</w:t>
      </w:r>
    </w:p>
    <w:p>
      <w:r>
        <w:rPr>
          <w:b/>
        </w:rPr>
        <w:t xml:space="preserve">Quelle: </w:t>
      </w:r>
      <w:r>
        <w:t>https://mcp.opencaselaw.ch/entscheid/bvger_C-6547_2009</w:t>
      </w:r>
    </w:p>
    <w:p>
      <w:r>
        <w:t>FR: TAF C-6547/2009 du 20 mars 2012</w:t>
      </w:r>
    </w:p>
    <w:p>
      <w:r>
        <w:t>IT: TAF C-6547/2009 del 20 marzo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seine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Hinweisen).</w:t>
      </w:r>
    </w:p>
    <w:p>
      <w:r>
        <w:rPr>
          <w:b/>
        </w:rPr>
        <w:t>E. 3.1</w:t>
      </w:r>
    </w:p>
    <w:p>
      <w:r>
        <w:t>Am 1. Januar 2008 trat das zweite Paket der Asylgesetzrevision vom 16. Dezember 2005 in Kraft, mit dem durch entsprechende Änderungen des Asylgesetzes vom 26. Juni 1998 (AsylG, SR 142.31), des auf denselben Zeitpunkt in Kraft gesetzten Bundesgesetzes vom 16. Dezember 2005 über die Ausländerinnen und Ausländer (AuG, SR 142.20) und der Asylverordnung 2 vom 11. August 1999 über Finanzierungsfragen (Asylverordnung 2, AsylV 2) ein Systemwechsel vollzogen wurde von der individuellen Sicherheitsleistungs- und Rückerstattungspflicht (nachfolgend: SiRück) mit der ihr eigenen Leistung von Sicherheiten auf ein unter der Verwaltung des Bundes stehendes Konto (Sicherheitskonto) und der Abrechnung darüber auf der Grundlage individuell zurechenbarer Kosten zur voraussetzungslos geschuldeten Sonderabgabe (vgl. zum Ganzen: Urteil des Bundesverwaltungsgerichts C 7179/2008 vom 21. Dezember 2010 E. 4.2 bis E. 4.4). Die vorliegende Streitsache betrifft die Überführung eines unter der Herrschaft des alten Rechts entstandenen SiRück-Verhältnisses zwischen einer vorläufig aufgenommenen Person und dem Gemeinwesen unter das neurechtliche Regime der Sonderabgabe.</w:t>
      </w:r>
    </w:p>
    <w:p>
      <w:r>
        <w:rPr>
          <w:b/>
        </w:rPr>
        <w:t>E. 3.2</w:t>
      </w:r>
    </w:p>
    <w:p>
      <w:r>
        <w:t>Mit der angefochtenen Verfügung rechnete die Vorinstanz über das Sicherheitskonto des Beschwerdeführers ab. Zur Anwendung brachte sie Art. 126a Abs. 1 bis Abs. 3 AuG und die Übergangsbestimmungen zu der am 24. Oktober 2007 beschlossenen Änderung der Asylverordnung 2 (nachfolgend: Übergangsbestimmungen AsylV 2). Die in den genannten Normen niedergelegte übergangsrechtliche Ordnung (vgl. dazu einge­hend Urteil des Bundesverwaltungsgerichts C 7179/2008 vom 21. De­zember 2010 E. 4.5 und E. 4.6) sieht die Unterstellung bestehender Si­Rück-Verhältnisse unter das neue Recht vor, wenn vor seinem Inkrafttre­ten kein Schlussabrechnungsgrund nach Art. 87 des Asylgesetzes in der Fassung vom 26. Juni 1998 (AS 1999 2262; nachfolgend: AsylG [1998]) eingetreten ist (Art. 126a Abs. 1 und 3 AuG). Dabei gilt unter anderem, dass Sicherheitsleistungen nach Art. 86 AsylG (1998) sowie Rückerstattungen aus der Zwischenabrechnung nach Artikel 16 AsylV 2 in der Fassung vom 11. August 1999 (nachfolgend: AsylV 2 [1999]) in vollem Umfang an die neurechtliche Sonderabgabepflicht angerechnet werden. Soweit diese Sicherheiten und Rückerstattungen den Maximalbetrag der Sonderabgabe von Fr. 15'000.00 übersteigen, sind sie an den Kontoin­haber zurückzuzahlen oder an die Sonderabgabepflicht seines Ehegatten anzurechnen (Abs. 7 und 8 Übergangsbestimmungen AsylV 2).</w:t>
      </w:r>
    </w:p>
    <w:p>
      <w:r>
        <w:rPr>
          <w:b/>
        </w:rPr>
        <w:t>E. 3.3</w:t>
      </w:r>
    </w:p>
    <w:p>
      <w:r>
        <w:t>Der Beschwerdeführer hält dieses Vorgehen für rechtswidrig. Zur Begründung weist er darauf hin, dass er bereits im Februar 1992 in die Schweiz eingereist sei und um Asyl nachgesucht habe. Die Kosten des nachfolgenden Asylverfahrens seien mit der rechtkräftigen Zwischenab­rechnung auf Fr. 3'880.00 festgesetzt worden. Es könne nicht angehen, dass durch eine Rechtsänderung auf den 1. Januar 2008 sein Aufenthalt als Asylsuchender gänzlich neuen Regeln unterworfen werde. Für die Ab­rech­nung über sein Sicherheitskonto müsse vielmehr das Recht massgebend bleiben, das in Kraft gestanden habe, als er im Jahr 1992 eingereist sei und um Asyl ersucht habe.</w:t>
      </w:r>
    </w:p>
    <w:p>
      <w:r>
        <w:rPr>
          <w:b/>
        </w:rPr>
        <w:t>E. 3.4</w:t>
      </w:r>
    </w:p>
    <w:p>
      <w:r>
        <w:t>Der Beschwerdeführer irrt: Da sich bei ihm vor dem Inkrafttreten der Rechtsänderung kein Schlussabrechnungsgrund des Art. 87 AsylG (1998) verwirklicht hat, richtet sich die Abrechnung und die Liquidierung seines Sicherheitskontos nicht nach altem Recht sondern nach Abs. 6 bis 8 Übergangsbestimmungen AsylV 2. Diese übergangsrechtliche Ordnung wurde im Übrigen vom Bundesverwaltungsgericht in einem Grundsatzurteil namentlich auch hinsichtlich einer be­lastenden echten Rückwirkung geprüft und bestätigt (Urteil des Bundesverwaltungsgerichts C-7179/2008 vom 21. Dezember 2010 E. 3 und 6).</w:t>
      </w:r>
    </w:p>
    <w:p>
      <w:r>
        <w:rPr>
          <w:b/>
        </w:rPr>
        <w:t>E. 3.5</w:t>
      </w:r>
    </w:p>
    <w:p>
      <w:r>
        <w:t>Der Vollständigkeit halber sei ein weiterer Punkt angesprochen. Die Argumentation des Beschwerdeführers beruht offensichtlich auf der An­nahme, dass die SiRück-Pflicht nur während des Asyl- und des nachfolgenden Vollzugsverfahrens besteht. Diese Annahme trifft jedoch nicht zu. Seit Beginn der 90-Jahre waren auch vorläufig aufgenommene Personen verpflichtet, bestimmte Kosten zurückzuerstatten, worunter namentlich Kosten der wirtschaftlichen Sozialhilfe fielen, und hierfür Sicherheiten zu leisten (vgl. Art. 14c Abs. 4 des Bundesgesetzes vom 26. März 1931 über Aufenthalt und Niederlassung der Ausländer [ANAG, BS 1 121] in der Fassung vom 22. Juni 1990 [AS AS 1990 938], Art. 14c Abs. 10 ANAG in der Fassung vom 16. Dezember 1994 [AS 1994 2874], Art. 14c Abs. 6 ANAG in der Fassung vom 26. Juni 1998 [AS 1999 2262]). Die Höhe der aus den Sicherheiten zurückzuerstattenden Kosten war zunächst nicht beschränkt (Art. 8 Abs. 1 der Verordnung vom 25. November 1987 über die vorläufige Aufnahme und die Internierung von Ausländern [InternierungsV, AS 1987 1669] in der Fassung vom 22. Mai 1991 [AS 1991 1165]). Später wurde eine Begrenzung auf 40 Franken pro Unterstützungstag und Person eingeführt und bis zur Einführung der Sonderabgabe beibehalten (Art. 8 Abs. 1 InternierungsV in der Fassung vom 22. November 1995 [AS 1995 5041], Art. 23 Bst. b der Verordnung vom 11. August 1999 über den Vollzug der Weg- und Ausweisung von ausländischen Personen [VVWA, SR 142.281] in der ursprünglichen Fassung vom 11. August 1999 [AS 1999 2254]). Angesichts der aktenkundigen jahrelangen Sozialhilfeab­hängigkeit des Beschwerdeführers und seiner Familie, welche bis anhin einer ordentlichen ausländerrechtlichen Regelung ihres Aufenthaltes im Wege stand, würde daher eine altrechtliche Abrechnung über das Sicher­heitskonto mit Sicherheit zu einem für den Beschwerdeführer weitaus ungünstigeren Ergebnis führen.</w:t>
      </w:r>
    </w:p>
    <w:p>
      <w:r>
        <w:rPr>
          <w:b/>
        </w:rPr>
        <w:t>E. 4</w:t>
      </w:r>
    </w:p>
    <w:p>
      <w:r>
        <w:t>Andere Umstände, welche die Rechtmässigkeit der Abrechnung über das Sicherheitskonto des Beschwerdeführers in Frage stellen könnten, werden nicht geltend gemacht und sind auch nicht ersichtlich. Die angefochtene Verfügung ist daher im Lichte von Art. 49 VwVG nicht zu beanstanden und die Beschwerde abzuweisen.</w:t>
      </w:r>
    </w:p>
    <w:p>
      <w:r>
        <w:rPr>
          <w:b/>
        </w:rPr>
        <w:t>E. 5</w:t>
      </w:r>
    </w:p>
    <w:p>
      <w:r>
        <w:t>Dem Beschwerdeführer wurde in Anwendung von Art. 65 Abs. 1 VwVG die unentgeltliche Rechtspflege in Gestalt der Befreiung von den Verfahrenskosten gewährt. Solche sind daher für das vorliegende Verfahren nicht zu erheben.</w:t>
      </w:r>
    </w:p>
    <w:p>
      <w:r>
        <w:rPr>
          <w:b/>
        </w:rPr>
        <w:t>E. 6</w:t>
      </w:r>
    </w:p>
    <w:p>
      <w:r>
        <w:t>Das vorliegende Urteil ist endgültig (Art. 83 Bst. c Ziff. 3 und Bst. d Ziff. 1 des Bundesgerichtsgesetzes vom 17. Juni 2005 [BGG, SR 173.110]).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