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C-652/2011 vom 7. November 2012</w:t>
      </w:r>
    </w:p>
    <w:p>
      <w:r>
        <w:t>Bundesverwaltungsgericht, 2012-11-07, FR</w:t>
      </w:r>
    </w:p>
    <w:p>
      <w:r>
        <w:rPr>
          <w:b/>
        </w:rPr>
        <w:t xml:space="preserve">Quelle: </w:t>
      </w:r>
      <w:r>
        <w:t>https://mcp.opencaselaw.ch/entscheid/bvger_C-652_2011</w:t>
      </w:r>
    </w:p>
    <w:p>
      <w:r>
        <w:t>FR: TAF C-652/2011 du 7 novembre 2012</w:t>
      </w:r>
    </w:p>
    <w:p>
      <w:r>
        <w:t>IT: TAF C-652/2011 del 7 novembre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touchée par celle-ci et ayant un intérêt digne d'être protégée à ce qu'elle soit annulée ou modifiée (cf. art. 59 LPGA).</w:t>
      </w:r>
    </w:p>
    <w:p>
      <w:r>
        <w:rPr>
          <w:b/>
        </w:rPr>
        <w:t>E. 1.4</w:t>
      </w:r>
    </w:p>
    <w:p>
      <w:r>
        <w:t>Déposé en temps utile, dans les formes requises par la loi (art. 60 LPGA et 52 PA) et l'avance sur les frais de procédure a été dûment acquitté, le recours est recevable et il est entré en matière sur celui-ci.</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En l'occurrence, est ainsi applicable la LAI modifiée par la 5ème révision, entrée en vigueur le 1er janvier 2008 (RO 2007 5129; FF 2005 4215). X._______ étant domiciliée dans un Etat membre de la communauté européenne, sont également déterminants en l'espèce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 vigueur pour la relation entre la Suisse et les Etats de l'Union européenne depuis le 1er juin 2002 (cf. ATF 133 V 269 consid. 4.2.1). Par contre, ne sont pas applicables les dispositions de la 6ème révision de la LAI (premier volet), en vigueur dès le 1er janvier 2012 (RO 2011 5659, FF 2010 1647) ainsi que l'annexe II révisée de l'ALCP et les nouveaux règlements (CEE) n° 883/2004 et 987/2009, en vigueur pour la Suisse depuis le 1er avril 2012 (cf. section A art. 3 et 4 de l'annexe II révisée ALCP, art. 87 par. 1 et art. 90 par. 1 let. c du règlement (CEE) n° 883/2004).</w:t>
      </w:r>
    </w:p>
    <w:p>
      <w:r>
        <w:rPr>
          <w:b/>
        </w:rPr>
        <w:t>E. 3.2</w:t>
      </w:r>
    </w:p>
    <w:p>
      <w:r>
        <w:t>D'après l'art. 3 du règlement (CEE) n° 1408/71 les ressortissants des Etats membres de la Communauté européenne et les ressortissants suisses bénéficient de l'égalité de traitement. De plus, le droit à une rente d'invalidité d'une personne assurée qui prétend à des prestations de l'assurance-invalidité suisse est déterminé exclusivement d'après le droit suisse (cf. art. 40 par. 4 du Règlement (CEE) n° 1408/71; ATF 130 V 257 consid. 2.4). Partant, l'OAIE n'est en l'espèce pas lié par les décisions de l'INSS espagnol.</w:t>
      </w:r>
    </w:p>
    <w:p>
      <w:r>
        <w:rPr>
          <w:b/>
        </w:rPr>
        <w:t>E. 3.3</w:t>
      </w:r>
    </w:p>
    <w:p>
      <w:r>
        <w:t>Les dispositions de la LPGA sont applicables en matière d'assurance-invalidité si et dans la mesure où la LAI le prévoit (art. 2 LPGA et art. 1 al. 1 LAI).</w:t>
      </w:r>
    </w:p>
    <w:p>
      <w:r>
        <w:rPr>
          <w:b/>
        </w:rPr>
        <w:t>E. 4</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En l'occurrence, X._______, ayant cotisé en Suisse de 1992 à 2007 (AI pce 6), remplit la condition liée à la durée minimale de cotisations. Il reste à examiner si l'assurée est invalide au sens de la loi suisse.</w:t>
      </w:r>
    </w:p>
    <w:p>
      <w:r>
        <w:rPr>
          <w:b/>
        </w:rPr>
        <w:t>E. 5.1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invalidé à 40% au moins.</w:t>
      </w:r>
    </w:p>
    <w:p>
      <w:r>
        <w:rPr>
          <w:b/>
        </w:rPr>
        <w:t>E. 5.2</w:t>
      </w:r>
    </w:p>
    <w:p>
      <w:r>
        <w:t>L'invalidité au sens de la LPGA et de la LAI est l'incapacité de gain totale ou partielle qui est présumée permanente ou de longue durée, qui peut résulter d'une infirmité congénitale, d'une maladie ou d'un accident (cf. art. 8 LPGA et 4 al. 1 LAI). Selon l'assurance-invalidité suisse, la notion d'invalidité est de nature juridique-économique et non médicale (ATF 116 V 246 consid. 1b). Seules les pertes économiques liées à une atteinte à la santé sont assurées. L'invalidité n'est pas déterminée selon des tables d'incapacité (appréciation médico-théorique). Pour les assurés exerçant une activité lucrative, le taux d'invalidité est évaluée selon la méthode ordinaire de comparaison des revenus (cf. art. 16 LPGA en corrélation avec l'art. 28a al. 1 LAI).</w:t>
      </w:r>
    </w:p>
    <w:p>
      <w:r>
        <w:rPr>
          <w:b/>
        </w:rPr>
        <w:t>E. 5.3</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et leur résidence habituelle sur le sol de l'un d'eux (cf. l'ALCP, en dérogation à l'art. 29 al. 4 LAI).</w:t>
      </w:r>
    </w:p>
    <w:p>
      <w:r>
        <w:rPr>
          <w:b/>
        </w:rPr>
        <w:t>E. 5.4</w:t>
      </w:r>
    </w:p>
    <w:p>
      <w:r>
        <w:t>Le droit à la rente d'invalidité prend naissance au plus tôt à l'échéance d'une période de six mois à compter de la date à laquelle la personne assurée a fait valoir son droit aux prestations (cf. art. 29 al. 1 LAI).</w:t>
      </w:r>
    </w:p>
    <w:p>
      <w:r>
        <w:rPr>
          <w:b/>
        </w:rPr>
        <w:t>E. 6.1</w:t>
      </w:r>
    </w:p>
    <w:p>
      <w:r>
        <w:t>Afin d'instruire une demande de prestations, l'art. 69 RAI prescrit que l'Office AI réunit les pièces nécessaires, en particulier sur l'état de santé du requérant, son activité, sa capacité de travail et son aptitude à être réadapté. Selon une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Tribunal doit examiner de manière objective tous les moyens de preuve, quelle que soit leur provenance, puis décider si les documents à disposition permettent de porter un jugement valable sur le droit litigieux.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 ATF 130 II 425 consid. 2.1 et les références ; arrêt du Tribunal fédéral 9C_859/2007 du 16 décembre 2008 consid. 5). Une telle manière de procéder ne viole pas le droit d'être entendu selon l'art. 29 al. 2 Cst. (SVR 2001 IV n° 10 p. 28).</w:t>
      </w:r>
    </w:p>
    <w:p>
      <w:r>
        <w:rPr>
          <w:b/>
        </w:rPr>
        <w:t>E. 7.1</w:t>
      </w:r>
    </w:p>
    <w:p>
      <w:r>
        <w:t>Dans le cas d'espèce, il est établi que X._______ souffre d'un trouble bipolaire (cf. l'évaluation du taux d'incapacité du 14 janvier 2009 de l'INSS [AI pce 12 annexe], le rapport médical détaillé E 213 du 25 mai 2010 de la Dresse J._______[AI pce 29], la proposition médicale du 28 septembre 2010 du Dr O._______ [AI pce 31]; alors que les médecins de B._______ ont plutôt penché en faveur du diagnostic de trouble schizoaffectif [le rapport de bilan du 27 juillet 2007 de B._______, signé du Dr F._______ et de la Dresse Sanghvi; AI pce 23]). Les Dresses I._______ et J._______ ont aussi observé une anxiété (certificat médical du 25 novembre 2009 et rapport médical détaillé E 213 du 25 mai 2010 [AI pces 28 et 29). Est litigieux la question de savoir quelle est la répercussion de la maladie de l'assurée sur sa capacité de travail, en Suisse l'invalidité étant exclusivement déterminée en fonction des pertes économiques liées à une atteinte à la santé (cf. consid. 4.2 ci-dessus).</w:t>
      </w:r>
    </w:p>
    <w:p>
      <w:r>
        <w:rPr>
          <w:b/>
        </w:rPr>
        <w:t>E. 7.2</w:t>
      </w:r>
    </w:p>
    <w:p>
      <w:r>
        <w:t>La recourante avance qu'elle présente une incapacité de 65%, son problème de santé l'empêchant d'accomplir un travail continu avec un rendement, une efficacité et un dévouement absolu. Le Dr O._______ sur l'avis duquel l'OAIE a basé sa décision contestée est également d'avis que la maladie de X._______ diminue sa capacité de travail et a estimé une incapacité de 30% dans toute activité (cf. la proposition médicale du 28 septembre 2010 [AI pce 31]). Il argue que l'assurée a pu reprendre un travail régulier après son dernier épisode dépressif qui remonte à 2007. Il suit ainsi les observations de la Dresse J._______ qui a noté dans son rapport médical détaillé E 213 du 25 mai 2010 que le dernier épisode maladif date de 2007 et que depuis lors l'état de santé de X._______ est stabilisé même si elle présente une augmentation de l'anxiété pour des problèmes liés à sa place de travail (AI pce 29). Par ailleurs, le Dr P._______, psychiatre, de l'OAIE a confirmé l'appréciation du Dr O._______ le 20 juin 2011, précisant que le trouble bipolaire dont l'assurée souffre se soigne bien et que lorsque les personnes répondent, comme l'assurée, positivement aux médicaments administrés - en l'espèce K._______, un neuroleptique et L._______, un stabilisateur (cf. rapport médical détaille E 213 du 25 mai 2010 de la Dresse J._______[AI pce 29]) - elles sont capables de travailler. Le fait que l'assurée est stressée à l'idée de reprendre un travail parce qu'elle a peur de retomber malade est d'après le Dr P._______ compréhensible, mais pas maladif (AI pce 37). Le Tribunal de céans n'a pas de motifs de s'écarter des conclusions convaincantes des médecins de l'OAIE qui reposent sur l'étude des documents versés au dossier et il retient que la capacité de travail de l'assurée est réduite de 30%. Il est vrai que la sécurité sociale espagnole a reconnu à l'assurée une incapacité de 65%. Cependant, non seulement il est incontesté que l'OAIE n'est pas lié, d'après la jurisprudence, par les décisions de l'INSS (cf. consid. 2.2 ci-dessus), mais encore il s'avère que celui-ci a pris sa décision en application d'un barème médicaux-théorique inconnu en Suisse, lequel, de surcroît, ne tient pas uniquement compte d'une capacité de travail mais également d'une capacité à mener une vie autonome ainsi que d'autres facteurs non déterminants en Suisse (cf. art. 4 et 5 du décret royal 1971/1999 du 23 décembre et son l'annexe I). X._______ ne peut donc tirer aucun argument du fait qu'elle touche une pension d'invalidité en Espagne. En conclusion, le Tribunal retient, à l'instar des médecins de l'OAIE, que la recourante souffre principalement d'un trouble bipolaire qui justifie une incapacité de travail de 30% dans toute activité professionnelle. Une expertise médicale, demandée par l'assurée, s'avère superflue.</w:t>
      </w:r>
    </w:p>
    <w:p>
      <w:r>
        <w:rPr>
          <w:b/>
        </w:rPr>
        <w:t>E. 7.3</w:t>
      </w:r>
    </w:p>
    <w:p>
      <w:r>
        <w:t>Par ailleurs, il est constant que la recourante exercerait, sans atteinte à la santé, une activité lucrative à temps plein. La méthode générale de comparaison des revenus est en principe applicable (cf. consid. 4.2 ci-dessus). Cela étant, en l'occurrence, la recourante pouvant reprendre une activité professionnelle à hauteur de 70%, le Tribunal de céans constate qu'elle présente une invalidité de 30% (comparaison en pour-cent; ATF 114 V 310 consid. 3a, 104 V 135 consid. 2; arrêt du Tribunal fédéral 9C_785/2009 du 2 décembre 2009 consid. 4; arrêt du Tribunal administratif fédéral C-1047/2011 du 5 octobre 2012 consid. 10.5), taux insuffisant pour ouvrir le droit à une rente d'invalidité (art. 29 LAI).</w:t>
      </w:r>
    </w:p>
    <w:p>
      <w:r>
        <w:rPr>
          <w:b/>
        </w:rPr>
        <w:t>E. 8</w:t>
      </w:r>
    </w:p>
    <w:p>
      <w:r>
        <w:t>Dans le cadre de la présente procédure, il est utile de rappeler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9</w:t>
      </w:r>
    </w:p>
    <w:p>
      <w:r>
        <w:t>Au vu de ce qui précède, il appert que la décision litigieuse doit être confirmée et le recours du 18 janvier 2010 rejeté. Celui-ci étant manifestement infondé, il convient de statuer sur le présent litige dans une procédure à juge unique (art. 85bis al. 3 de la loi sur l'assurance-vieillesse et survivants, LAVS [RS 831.10] en relation avec l'art. 69 al. 2 LAI).</w:t>
      </w:r>
    </w:p>
    <w:p>
      <w:r>
        <w:rPr>
          <w:b/>
        </w:rPr>
        <w:t>E. 10</w:t>
      </w:r>
    </w:p>
    <w:p>
      <w:r>
        <w:t>Vu l'issu du litige, les frais de procédure, fixés à Fr. 400.-, sont mis à la charge de la recourante (art. 63 al. 1 PA, applicable par le truchement de l'art. 37 LTAF). Ils sont compensés par l'avance de frais du même montant dont la recourante s'est acquitté au cours de l'instruction (TAF pces 7à 9 et 11 à 13). Il n'est pas alloué de dépens, l'OAIE, en sa qualité d'autorité, n'y ayant pas droit (art. 64 al. 1 PA et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