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C-652/2009 vom 16. Februar 2011</w:t>
      </w:r>
    </w:p>
    <w:p>
      <w:r>
        <w:t>Bundesverwaltungsgericht, 2011-02-16, FR</w:t>
      </w:r>
    </w:p>
    <w:p>
      <w:r>
        <w:rPr>
          <w:b/>
        </w:rPr>
        <w:t xml:space="preserve">Quelle: </w:t>
      </w:r>
      <w:r>
        <w:t>https://mcp.opencaselaw.ch/entscheid/bvger_C-652_2009</w:t>
      </w:r>
    </w:p>
    <w:p>
      <w:r>
        <w:t>FR: TAF C-652/2009 du 16 février 2011</w:t>
      </w:r>
    </w:p>
    <w:p>
      <w:r>
        <w:t>IT: TAF C-652/2009 del 16 febbraio 2011</w:t>
      </w:r>
    </w:p>
    <w:p>
      <w:pPr>
        <w:pStyle w:val="Heading2"/>
      </w:pPr>
      <w:r>
        <w:t>Regeste</w:t>
      </w:r>
    </w:p>
    <w:p>
      <w:r>
        <w:t>Annulation de la naturalisation facilitée</w:t>
      </w:r>
    </w:p>
    <w:p>
      <w:pPr>
        <w:pStyle w:val="Heading2"/>
      </w:pPr>
      <w:r>
        <w:t>Erwägungen</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w:t>
      </w:r>
    </w:p>
    <w:p>
      <w:r>
        <w:rPr>
          <w:b/>
        </w:rPr>
        <w:t>E. 2.2</w:t>
      </w:r>
    </w:p>
    <w:p>
      <w:r>
        <w:t>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 arrêt du Tribunal administratif fédéral C-6735/2007 du 20 août 2008 consid. 1.5).</w:t>
      </w:r>
    </w:p>
    <w:p>
      <w:r>
        <w:rPr>
          <w:b/>
        </w:rPr>
        <w:t>E. 2.3</w:t>
      </w:r>
    </w:p>
    <w:p>
      <w:r>
        <w:t>Dans son arrêt, l'autorité de recours prend en considération l'état de fait et de droit régnant au moment où elle statue (cf. consid. 1.2 de l'arrêt du Tribunal fédéral 2A.451/2002 du 28 mars 2003, partiellement publié [ATF 129 II 215]).</w:t>
      </w:r>
    </w:p>
    <w:p>
      <w:r>
        <w:rPr>
          <w:b/>
        </w:rPr>
        <w:t>E. 3</w:t>
      </w:r>
    </w:p>
    <w:p>
      <w:r>
        <w:t>A._______ se plaint préalablement dans son recours d'une violation de son droit d'être entendu (cf. mémoire de recours, pp. 4 et 5).</w:t>
      </w:r>
    </w:p>
    <w:p>
      <w:r>
        <w:rPr>
          <w:b/>
        </w:rPr>
        <w:t>E. 3.1</w:t>
      </w:r>
    </w:p>
    <w:p>
      <w:r>
        <w:t>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135 II 286 consid. 5.1, 132 V 368 consid. 3.1; 129 II 497 consid. 2.2 et réf. citées).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la jurisprudence citée). Ce droit constitutionnel est violé si l'autorité tranche la cause, ou une question de fait ou de droit qu'elle doit résoudre pour trancher la cause, sans avoir donné à l'intéressé la possibilité de présenter utilement ses moyens (cf. l'arrêt du Tribunal fédéral 6P.159/2006/6S.368/2006 du 22 décembre 2006, consid. 3.1). Le droit d'être entendu découlant de l'art. 29 al. 2 Cst. ne comprend toutefois pas le droit d'être entendu oralement, ni celui d'obtenir l'audition de témoins (ATF 130 II 425 consid. 2.1, 125 I 209 consid. 9b et réf. citées).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127 V 431 consid. 3d/aa, 126 V 130 consid. 2b).</w:t>
      </w:r>
    </w:p>
    <w:p>
      <w:r>
        <w:rPr>
          <w:b/>
        </w:rPr>
        <w:t>E. 3.2</w:t>
      </w:r>
    </w:p>
    <w:p>
      <w:r>
        <w:t>En l'occurrence, le recourant fait en premier lieu grief à l'autorité de première instance de n'avoir pas donné suite à ses réquisitions tendant à l'audition de témoins pouvant apporter un regard déterminant sur certains faits essentiels de la cause retenus comme tels par l'ODM, à savoir la question de la séparation de son ex-épouse en juin 2005 en relation avec la sous-location de l'appartement lausannois à un ami. Il estime en effet que cette question est d'autant plus importante qu'elle a été mise en avant par l'ODM pour justifier la décision querellée (cf. mémoire de recours, p. 4). En second lieu, il soutient que son droit d'être entendu a également été violé, en ce sens que la décision dont est recours n'a pas porté sur le déroulement de la rencontre des ex-époux et de leur mariage en Inde en 1997. En particulier, le recourant relève que B._______ n'a pas été interrogée sur ces points, lors de son audition par la police cantonale, et que lui-même n'a pas non plus été interpellé à ce propos dans le cadre de la procédure de première instance (ibidem, p. 5).</w:t>
      </w:r>
    </w:p>
    <w:p>
      <w:r>
        <w:rPr>
          <w:b/>
        </w:rPr>
        <w:t>E. 3.2.1</w:t>
      </w:r>
    </w:p>
    <w:p>
      <w:r>
        <w:t>Faisant application du large pouvoir d'examen que lui confère l'art. 62 al. PA (cf. supra consid. 2.2), qui lui permet de s'écarter aussi bien des arguments des parties que des considérants juridiques de la décision querellée, le Tribunal de céans observe que la question de la sous-location de l'appartement lausannois ne constitue pas un élément déterminant du présent litige, quand bien-même l'ODM a insisté sur ce point au cours de l'instruction et qu'il a retenu cet élément pour fonder la décision querellée. En effet, force est de constater que la question de savoir si la séparation effective des époux remontait à juin 2005 ou à fin 2005 (cf. déterminations du 12 septembre 2007, p. 2) n'est pas décisive au point de mettre à mal l'enchaînement logique et relativement rapide des événements fondant la présomption de faits que la naturalisation facilitée a été obtenue frauduleusement (cf. infra consid. 5.2.1ss, spécialement consid. 7.2 et 7.3). Il en va d'ailleurs de même des circonstances ayant entouré la rencontre des époux et de leur mariage en Inde en 1997. Dans ces circonstances, le Tribunal estime qu'il ne saurait être fait grief à l'ODM de ne pas avoir donné de réponse aux mesures d'instruction requises par le recourant et qu'il ne saurait être reproché à l'autorité inférieure d'avoir violé le droit d'être entendu du recourant en n'instruisant pas davantage sur ces circonstances.</w:t>
      </w:r>
    </w:p>
    <w:p>
      <w:r>
        <w:rPr>
          <w:b/>
        </w:rPr>
        <w:t>E. 3.2.2</w:t>
      </w:r>
    </w:p>
    <w:p>
      <w:r>
        <w:t>Pour ces mêmes raisons, le Tribunal considère qu'il n'y a pas lieu non plus de donner suite aux réquisitions formulées par le recourant dans le cadre de la procédure de recours tendant à son audition personnelle et à l'audition de témoins ayant fourni des témoignages écrits (cf. réplique du 29 juin 2009). Comme le démontreront les considérants exposés plus loin (cf. infra consid. 7), l'examen des pièces du dossier laisse apparaître des éléments suffisamment probants pour permettre au Tribunal, en se fondant sur le principe de la libre appréciation des preuves, de renoncer à ordonner des compléments de preuve tels que requis par le recourant.C'est le lieu ici de rappeler que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5.3, 130 II 425 consid. 2.1; l'arrêt du Tribunal fédéral 1C_135/2009 du 17 juillet 2009 consid. 3.4 et la jurisprudence citée).</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et la jurisprudence citée; l'arrêt du Tribunal fédéral 1C_193/2010 du 4 novembre 2010 consid. 2.2).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5.1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ibidem; voir également l'arrêt du Tribunal fédéral 1C_387/2010 du 6 décembre 2010 consid. 2.1.1 et la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l'arrêt du Tribunal fédéral 1C_387/2010 précité, ibidem, et la jurisprudence citée).</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w:t>
      </w:r>
    </w:p>
    <w:p>
      <w:r>
        <w:rPr>
          <w:b/>
        </w:rPr>
        <w:t>E. 5.2.1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mais encore de son propre intérêt, de renverser cette présomption (cf. ATF 135 II précité consid. 3).</w:t>
      </w:r>
    </w:p>
    <w:p>
      <w:r>
        <w:rPr>
          <w:b/>
        </w:rPr>
        <w:t>E. 5.2.2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ibidem, et les arrêts cités).</w:t>
      </w:r>
    </w:p>
    <w:p>
      <w:r>
        <w:rPr>
          <w:b/>
        </w:rPr>
        <w:t>E. 6</w:t>
      </w:r>
    </w:p>
    <w:p>
      <w:r>
        <w:t>A titre préliminaire, le Tribunal constate que les conditions formelles de l'annulation de la naturalisation facilitée prévues par l'art. 41 al. 1 LN sont réalisées dans le cas particulier. En effet, la naturalisation facilitée accordée le 24 juin 2004 à A._______ a été annulée par l'autorité inférieure en date du 16 décembre 2008, soit avant l'échéance du délai péremptoire de cinq ans prévu par la disposition légale précitée (cf. sur cette question l'arrêt du Tribunal fédéral 1C_336/2010 du 28 septembre 2010 consid. 3.2 s), avec l'assentiment de l'autorité compétente du canton d'origine (Vaud).</w:t>
      </w:r>
    </w:p>
    <w:p>
      <w:r>
        <w:rPr>
          <w:b/>
        </w:rPr>
        <w:t>E. 7</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Dans le cas particulier, l'autorité inférieure a retenu dans la décision querellée que l'enchaînement logique et rapide des événements fondait la présomption de fait qu'A._______ avait obtenu la naturalisation facilitée sur la base de déclarations mensongères, voire d'une dissimulation de faits essentiels, et que le prénommé n'avait apporté aucun élément probant permettant de renverser cette présomption. L'examen des faits pertinents de la cause, ainsi que leur déroulement chronologique relativement rapide, amènent le Tribunal à une conclusion identique.</w:t>
      </w:r>
    </w:p>
    <w:p>
      <w:r>
        <w:rPr>
          <w:b/>
        </w:rPr>
        <w:t>E. 7.2</w:t>
      </w:r>
    </w:p>
    <w:p>
      <w:r>
        <w:t>Ainsi, il ressort du dossier qu'A._______ a épousé le 11 septembre 1997 en Inde une citoyenne suisse, B._______, alors qu'il effectuait des études dans ce pays. Au lendemain de ce mariage, la prénommée est rentrée en Suisse pour y entamer une formation de bibliothécaire, tandis que l'intéressé a poursuivi son séjour en Inde aux fins d'y obtenir un titre universitaire. Le 5 août 1998, A._______ a rejoint son épouse en Suisse dans le cadre du regroupement familial. En date du 2 septembre 1998, il a été mis au bénéfice d'une autorisation de séjour annuelle dans le canton de Vaud. Les époux ont vécu durant trois ans au domicile des parents de B._______, avant de s'installer dans un appartement à Lausanne en novembre 2001. Le 25 août 2003, soit juste cinq ans après sa prise de résidence en Suisse, A._______ a introduit auprès de l'autorité compétente une requête visant à l'obtention de la naturalisation facilitée. Le 3 juin 2004, il a cosigné avec son épouse la déclaration relative à la stabilité de leur union. Le 24 juin 2004, le recourant s'est vu octroyer la naturalisation facilitée. Le 21 février 2006, les époux ont déposé auprès du Tribunal d'arrondissement de Lausanne une requête commune de divorce, avec accord complet, accompagnée d'une convention sur les effets accessoires du divorce. Par jugement du 16 août 2006, rectifié le 5 septembre 2006, le président dudit tribunal a prononcé le divorce des intéressés; ce jugement est devenu définitif et exécutoire le 20 septembre 2006. Le 22 octobre 2006, soit un mois plus tard, A._______ s'est remarié en Jordanie avec une ressortissante de ce pays, née le 6 juin 1982, divorcée; une fille est issue de cette nouvelle union conjugale le 25 janvier 2009.</w:t>
      </w:r>
    </w:p>
    <w:p>
      <w:r>
        <w:rPr>
          <w:b/>
        </w:rPr>
        <w:t>E. 7.3</w:t>
      </w:r>
    </w:p>
    <w:p>
      <w:r>
        <w:t>Le Tribunal estime que ces éléments et leur enchaînement chronologique relativement rapide sont de nature à fonder la présomption de fait selon laquelle la communauté conjugale du recourant avec sa première épouse n'était pas stable, ni au moment de la signature de la déclaration commune, ni au moment de l'octroi de la naturalisation facilitée. Le laps de temps entre cette déclaration commune (3 juin 2004), l'octroi de la naturalisation facilitée (24 juin 2004), le dépôt de la requête commune de divorce (21 février 2006) et le remariage d'A._______ avec une citoyenne jordanienne (22 octobre 2006), soit moins de deux ans et demi, tend à confirmer que le couple n'envisageait déjà plus une vie future partagée lors de la signature de la déclaration du 3 juin 2004. Cette conviction est renforcée par la précipitation avec laquelle le recourant a déposé sa demande de naturalisation facilitée le 25 août 2003, soit à peine le délai de cinq ans (art. 27 al. 1 let. a LN) écoulé, et par la hâte avec laquelle qu'il s'est remarié le 22 octobre 2006 avec une ressortissante jordanienne, soit huit mois seulement après le dépôt de la requête commune en divorce le 21 février 2006. Ce rapide enchaînement constitue au demeurant un indice sérieux que le second mariage devait forcément avoir été planifié par l'intéressé depuis un certain temps déjà, soit bien avant que ce dernier eût entamé les démarches administratives y relatives. L'affirmation du recourant selon laquelle le remariage était "un projet qui s'est élaboré après son divorce en 2006" (cf. écritures complémentaires du 13 mars 2009, p. 3) ne paraît ainsi pas crédible. Cette opinion se trouve corroborée par le témoignage écrit des parents d'A._______, daté du 18 février 2009, aux termes duquel le "mariage officiel" se tiendrait une année après sa planification.</w:t>
      </w:r>
    </w:p>
    <w:p>
      <w:r>
        <w:rPr>
          <w:b/>
        </w:rPr>
        <w:t>E. 7.4</w:t>
      </w:r>
    </w:p>
    <w:p>
      <w:r>
        <w:t>Par ailleurs et surtout, le recourant n'a pas rendu vraisemblable la survenance d'un événement extraordinaire de nature à expliquer une détérioration rapide du lien conjugal, au sens indiqué plus haut (cf. ch. 5.2.2).A cet égard, le recourant expose que le motif de la désunion a consisté "en un désaccord profond sur l'éducation des enfants". Contrairement à ce que prétend l'ODM, il tient à souligner toutefois que "cette question a été abordée tout au long de la relation", mais que "ce thème n'était pas encore source de conflit jusqu'à fin 2005", et que c'est seulement au moment où son ex-épouse a achevé sa formation continue que "le couple a pris peu à peu conscience d'un désaccord profond" (cf. mémoire de recours, p. 7, et témoignage écrit de B._______ du 18 janvier 2009). Or, selon le recourant, il n'y a là rien de particulier qui distinguerait les époux d'autres couples mariés jeunes et se divorçant après neuf ans de communauté conjugale (ibidem). De son côté, invitée à se prononcer sur cette mésentente au cours de son audition rogatoire devant l'autorité cantonale, B._______ avance les mêmes raisons en affirmant que les problèmes conjugaux avaient débuté, fin décembre 2005/début janvier 2006, et que ceux-ci étaient "de l'ordre des différences culturelles et religieuses". Elle a également déclaré que les époux avaient tous deux manifesté l'envie d'avoir des descendants communs, mais qu'ils n'étaient pas "en accord sur l'éducation des enfants", raison pour laquelle la séparation du couple avait alors été envisagée (cf. p.-v. d'audition de la police cantonale vaudoise du 4 décembre 2007, pp. 2 et 3).Le Tribunal estime que cette manière de présenter les causes de la rupture conjugale n'est pas convaincante. En effet, si le désaccord des époux relativement à l'éducation des enfants a effectivement été le motif essentiel de rupture, il n'est pas crédible qu'il soit survenu de manière inattendue et subite après neuf ans de mariage. Il n'est ainsi pas vraisemblable que cette mésentente ait été de nature à provoquer, à elle seule, la désunion du couple, prétendument uni et stable durant de longues années, dans le laps de temps qui sépare la décision de naturalisation facilitée (24 juin 2004) et l'ouverture de la procédure de divorce (21 février 2006). En effet, les éventuelles difficultés qui peuvent surgir entre époux, après plusieurs années de vie commune, dans une communauté de vie effective et intacte, n'entraînent la séparation, selon l'expérience générale, qu'au terme d'un processus prolongé de dégradation des rapports conjugaux, en principe entrecoupés de tentatives de réconciliation (cf. l'arrêt du Tribunal fédéral 1C_228/2009 du 31 août 2009, consid. 4, et la jurisprudence citée). Or, en l'espèce, non seulement le dossier ne permet pas de déceler une quelconque trace d'éventuels efforts entrepris pour sauver l'union conjugale, mais encore il est permis de penser que le désaccord des époux sur cette question apparemment primordiale ne constituait pas un événement imprévu, qu'il existait depuis de nombreuses années et qu'il posait déjà problème au moment où les conjoints avaient signé la déclaration commune le 3 juin 2004. Ceci résulte au demeurant à la fois des déclarations de B._______ ("Nous avons eu [durant notre mariage] uniquement des difficultés sur l'éducation de nos futurs enfants" [cf. audition rogatoire du 4 décembre 2007, p. 3]), ainsi que du témoignage écrit du 16 juin 2009 de la mère de la prénommée: "(...), j'étais témoin de plusieurs discussions concernant le futur de leur couple et leur futur planning entre autre sur la question de l'éducation des enfants. Comme tout autre couple, quelques fois ils ont eu leurs hauts et bas incluant ce sujet. J'ai remarqué que ce sujet est devenu plus important après que ma fille B._______ a achevé ses cours en juillet 2005 (...)". Au vu de ce qui précède, il apparaît que le recourant n'a pas réussi à rendre vraisemblable la survenance d'un événement extraordinaire susceptible d'expliquer une dégradation rapide du lien conjugal et que les divers éléments avancés dans le cadre de la procédure de recours ne permettent pas de renverser la présomption établie. Aussi, le fait que les ex-époux aient décidé de partir ensemble pour un voyage au Sri Lanka plusieurs mois après ladite déclaration, élément censé démontrer, selon le recourant, la sincérité de leur union (cf. mémoire de recours, p. 8), ne permet-il pas d'affaiblir la présomption que la naturalisation facilitée a été obtenue frauduleusement.</w:t>
      </w:r>
    </w:p>
    <w:p>
      <w:r>
        <w:rPr>
          <w:b/>
        </w:rPr>
        <w:t>E. 8</w:t>
      </w:r>
    </w:p>
    <w:p>
      <w:r>
        <w:t>En conclusion, le Tribunal de céans est d'avis qu'il y a lieu de s'en tenir à la présomption de fait, basée essentiellement sur l'enchaînement relativement rapide des événements, que la naturalisation facilitée a été obtenue de façon frauduleuse. Partant, si tant est qu'A._______ et sa première épouse aient voulu fonder une communauté conjugale effective, au sens de l'art. 27 LN, l'autorité inférieure pouvait considérer, à bon droit, que cette volonté n'existait plus lors de la signature de la déclaration commune ou, a fortiori, au moment de l'octroi de la nationalité suisse. Or, celle-ci n'aurait pas été accordée au recourant si les autorités avaient eu connaissance de ces éléments.</w:t>
      </w:r>
    </w:p>
    <w:p>
      <w:r>
        <w:rPr>
          <w:b/>
        </w:rPr>
        <w:t>E. 9</w:t>
      </w:r>
    </w:p>
    <w:p>
      <w:r>
        <w:t>Sauf décision expresse, l'annulation fait également perdre la nationalité suisse aux membres de la famille qui l'ont acquise en vertu de la décision annulée (cf. art. 41 al. 3 LN). Il en va ainsi de la fille issue de la nouvelle union conjugale du recourant, née le 25 janvier 2009 en Jordanie (cf. communication du 21 janvier 2011 de la Direction de l'état civil du canton de Vaud). Dans la mesure où cet enfant est né pendant la procédure de recours, le Tribunal doit examiner si son arrêt est également conforme à la disposition légale précitée, étant précisé qu'il prend en considération l'état de fait et de droit prévalant au moment où il statue. A cet égard, le Tribunal observe qu'il n'a pas été invoqué dans le cadre de la procédure de recours et qu'il n'apparaît pas, au vu de la législation jordanienne (cf. Gesetz Nr. 6 über die jordanische Staatsangehörigkeit v 4. Februar 1954, dans sa version de 1987, in Bergmann Alexander / Ferid Murad / Heenrich Dieter, Internationales Ehe- und Kindschaftsrecht mit Staats-angehörigkeitsrecht, Jordanien, p. 2ss), que cet enfant soit menacé d'apatridie, de sorte qu'il ne se justifie pas en l'espèce de s'écarter de la norme prévue par l'art. 41 al. 3 LN.</w:t>
      </w:r>
    </w:p>
    <w:p>
      <w:r>
        <w:rPr>
          <w:b/>
        </w:rPr>
        <w:t>E. 10</w:t>
      </w:r>
    </w:p>
    <w:p>
      <w:r>
        <w:t>Il ressort de ce qui précède que par sa décision du 16 décembre 2008, l'ODM n'a ni violé le droit fédéral ni constaté des faits pertinents de manière inexacte ou incomplète; en outre, cette décision n'est pas inopportune (cf.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