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C-6529/2016 vom 24. Juli 2018</w:t>
      </w:r>
    </w:p>
    <w:p>
      <w:r>
        <w:t>Bundesverwaltungsgericht, 2018-07-24, DE</w:t>
      </w:r>
    </w:p>
    <w:p>
      <w:r>
        <w:rPr>
          <w:b/>
        </w:rPr>
        <w:t xml:space="preserve">Quelle: </w:t>
      </w:r>
      <w:r>
        <w:t>https://mcp.opencaselaw.ch/entscheid/bvger_C-6529_2016</w:t>
      </w:r>
    </w:p>
    <w:p>
      <w:r>
        <w:t>FR: TAF C-6529/2016 du 24 juillet 2018</w:t>
      </w:r>
    </w:p>
    <w:p>
      <w:r>
        <w:t>IT: TAF C-6529/2016 del 24 luglio 2018</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Art. 31, 32 und 33 Bst. d VGG [SR 173.32]). Der Beschwerdeführer ist durch die angefochtene Verfügung besonders berührt und hat an deren Aufhebung oder Abänderung ein schutzwürdiges Interesse, weshalb er beschwerdelegitimiert ist (Art. 48 Abs. 1 VwVG [SR 172.021], Art. 59 ATSG [SR 830.1]). Die Einreichung der Beschwerde bei der Vorinstanz schadet dem Beschwerdeführer gemäss Art. 60 Abs. 2 ATSG in Verbindung mit Art. 39 Abs. 2 ATSG nicht (vgl. auch Art. 21 Abs. 2 VwVG). Auf die frist- und formgerecht eingereichte Beschwerde vom 12. Oktober 2016 ist daher einzutreten (Art. 50 Abs. 1 und Art. 52 Abs. 1 VwVG, Art. 60 ATSG).</w:t>
      </w:r>
    </w:p>
    <w:p>
      <w:r>
        <w:rPr>
          <w:b/>
        </w:rPr>
        <w:t>E. 2</w:t>
      </w:r>
    </w:p>
    <w:p>
      <w:r>
        <w:t>Im Folgenden sind vorab die im vorliegenden Verfahren dem Grundsatz nach anwendbaren Normen und Rechtsgrundsätze darzustellen.</w:t>
      </w:r>
    </w:p>
    <w:p>
      <w:r>
        <w:rPr>
          <w:b/>
        </w:rPr>
        <w:t>E. 2.1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(im Folgenden: EG-VO Nr. 883/2004) sowie Nr. 987/2009 vom 16. September 2009 (im Folgenden: EG-Durchführungs-VO Nr. 987/2009),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was sich auch mit dem Inkrafttreten der oben erwähnten Verordnungen am 1. April 2012 nicht geändert hat (vgl. Urteil des BVGer C-3985/2012 vom 25. Februar 2013 E. 2.1).</w:t>
      </w:r>
    </w:p>
    <w:p>
      <w:r>
        <w:rPr>
          <w:b/>
        </w:rPr>
        <w:t>E. 2.2</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2.3</w:t>
      </w:r>
    </w:p>
    <w:p>
      <w:r>
        <w:t>Anfechtungsobjekt und damit Begrenzung des Streitgegenstands des vorliegenden Beschwerdeverfahrens (vgl. BGE 131 V 164 E. 2.1) bildet der Einspracheentscheid vom 31. August 2016, mit welchem die Vorinstanz ihre Verfügung vom 9. Mai 2016 ersetzte und dem Beschwerdeführer ab 1. März 2016 eine Altersrente in Höhe von Fr. 392.- zusprach.</w:t>
      </w:r>
    </w:p>
    <w:p>
      <w:r>
        <w:rPr>
          <w:b/>
        </w:rPr>
        <w:t>E. 2.4</w:t>
      </w:r>
    </w:p>
    <w:p>
      <w:r>
        <w:t>In zeitlicher Hinsicht sind grundsätzlich diejenigen materiellen Rechts-sätze massgebend, die bei der Erfüllung des zu Rechtsfolgen führenden Tatbestandes Geltung hatten (BGE 130 V 329 E. 2.3). Der Beschwerdeführer hat am 26. Februar 2018 sein 65. Altersjahr vollendet und erreichte zu diesem Zeitpunkt das gesetzliche Rentenalter. Gem. Art. 21 Abs. 2 AHVG entsteht der Anspruch auf eine Altersleistung am ersten Tag des Monats, welcher der Vollendung des regulären Rentenalters folgt. Der Beschwerdeführer hat somit ab 1. März 2018 Anspruch auf eine Altersleistung. Da er seine Altersrente um zwei Jahre vorbezogen hat, entstand sein Rentenanspruch bereits am 1. März 2016. Für die Überprüfung des angefochtenen Einspracheentscheids, mit welchem die SAK dem Beschwerdeführer ab 1. März 2016 eine Altersrente in Höhe von Fr. 392.- zusprach, sind somit diejenigen Normen massgebend, die im März 2016 in Kraft standen (vgl. BGE 140 V 154 E. 7.1; BGE 130 V 156 E. 5.2).</w:t>
      </w:r>
    </w:p>
    <w:p>
      <w:r>
        <w:rPr>
          <w:b/>
        </w:rPr>
        <w:t>E. 3.1</w:t>
      </w:r>
    </w:p>
    <w:p>
      <w:r>
        <w:t>Anspruch auf eine Altersrente haben Männer, die das 65. Altersjahr und Frauen, die das 64. Altersjahr vollendet haben (Art. 21 Abs. 1 AHVG). sofern ihnen für mindestens ein volles Jahr Einkommens-, Erziehungs- oder Betreuungsgutschriften angerechnet werden können (vgl. Art. 21 Abs. 1 Bst. a und b AHVG in Verbindung mit Art. 29 Abs. 1 AHVG). Der Anspruch entsteht am ersten Tag des Monats, welcher der Vollendung des gemäss Abs. 1 massgebenden Altersjahres folgt. Er erlischt mit dem Tod (Art. 21 Abs. 2 AHVG).</w:t>
      </w:r>
    </w:p>
    <w:p>
      <w:r>
        <w:rPr>
          <w:b/>
        </w:rPr>
        <w:t>E. 3.2</w:t>
      </w:r>
    </w:p>
    <w:p>
      <w:r>
        <w:t>Die ordentlichen Renten der AHV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 Dabei bestimmt sich die Beitragsdauer einer versicherten Person in der Regel nach den Einträgen in ihren individuellen Konten (Art. 30ter AHVG).</w:t>
      </w:r>
    </w:p>
    <w:p>
      <w:r>
        <w:rPr>
          <w:b/>
        </w:rPr>
        <w:t>E. 3.3</w:t>
      </w:r>
    </w:p>
    <w:p>
      <w:r>
        <w:t>Im Rahmen des flexiblen Rentenalters können Personen, welche die Voraussetzungen für den Anspruch auf eine ordentliche Altersrente erfüllen, die Rente ein oder zwei Jahre vorbeziehen. Der Rentenanspruch entsteht in diesen Fällen für Männer am ersten Tag des Monats nach Vollendung des 64. oder 63. Altersjahres, für Frauen am ersten Tag des Monats nach Vollendung des 63. oder 62. Altersjahres. Während der Dauer des Rentenvorbezuges werden keine Kinderrenten ausgerichtet (Art. 40 Abs. 1).</w:t>
      </w:r>
    </w:p>
    <w:p>
      <w:r>
        <w:rPr>
          <w:b/>
        </w:rPr>
        <w:t>E. 4.1</w:t>
      </w:r>
    </w:p>
    <w:p>
      <w:r>
        <w:t>Vorliegend bestreitet der Beschwerdeführer weder das im Einspracheverfahren neu errechnete massgebliche durchschnittliche Jahreseinkommen von Fr. 74'730.- noch die festgelegte Beitragszeit von neun Jahren und sechs Monaten (SAK-act. 41, S. 3). Ebenso wenig stellt er die Rentenberechnung durch die Vorinstanz grundsätzlich in Frage, sondern beklagt sich einzig darüber, dass die Vorinstanz bei der Berechnung seiner Altersrente die deutschen Versicherungszeiten nicht berücksichtigt habe. Er macht geltend, dass für die Berechnung der Schweizer Altersrente nicht nur ihre schweizerischen Versicherungszeiten, sondern auch ihre deutschen Versicherungszeiten anzurechnen seien.</w:t>
      </w:r>
    </w:p>
    <w:p>
      <w:r>
        <w:rPr>
          <w:b/>
        </w:rPr>
        <w:t>E. 4.2</w:t>
      </w:r>
    </w:p>
    <w:p>
      <w:r>
        <w:t>Das Bundesverwaltungsgericht prüft primär die vorgetragenen Rügen und ist nicht gehalten, die angefochtene Verfügung auf alle erdenklichen Rechtsfehler hin zu untersuchen (vgl. Urteile des BVGer C-2656/2015 vom 24. Februar 2016 E. 2.2 und C-5053/2013 vom 17. August 2015 E. 4.2 je m.H.). Die Rentenberechnung an sich ist mit Blick in die Akten nicht zu beanstanden. Zudem hat die Vorinstanz dem Beschwerdeführer im angefochtenen Einspracheentscheid vom 31. August 2016 sowie im Begleitbrief vom 2. September 2016 (SAK-act. 41, 44) die Rentenberechnung ausführlich erläutert. Deren summarische Überprüfung - obwohl nicht beanstandet - ergibt ebenfalls keine Anhaltspunkte für eine rechtsfehlerhafte Berechnungsweise (vgl. SAK-act. 40). Somit bleibt vom Bundesverwaltungsgericht zu prüfen, ob die Vorinstanz die deutschen Versicherungszeiten zu Recht nicht in der Rentenberechnung berücksichtigt hat.</w:t>
      </w:r>
    </w:p>
    <w:p>
      <w:r>
        <w:rPr>
          <w:b/>
        </w:rPr>
        <w:t>E. 4.3</w:t>
      </w:r>
    </w:p>
    <w:p>
      <w:r>
        <w:t>Da der Rentenanspruch des Beschwerdeführers am 1. März 2016 entstanden ist, findet vorliegend - wie bereits in Erwägung E. 2.1 ausgeführt, das am 1. April 2012 in Kraft getretenen FZA und die entsprechenden Koordinierungsverordnungen EG-VO Nr. 883/2004 und EG-Durchführungs-VO Nr. 987/2009 Anwendung.</w:t>
      </w:r>
    </w:p>
    <w:p>
      <w:r>
        <w:rPr>
          <w:b/>
        </w:rPr>
        <w:t>E. 4.3.1</w:t>
      </w:r>
    </w:p>
    <w:p>
      <w:r>
        <w:t>Die genannten Verordnungen sind sodann auch in persönlicher Hinsicht auf den Beschwerdeführer anwendbar, weil er als Arbeitnehmer gilt, welcher Staatsangehöriger eines Mitgliedstaats ist und für welchen die Rechtsvorschriften eines oder mehrerer Mitgliedstaaten gelten oder galten (Art. 2 Abs. 1 EG-VO Nr. 883/2004). Die hier zur Beurteilung stehende AHV-Rente wird zudem als Leistungen im Sinne von Art. 3 Abs. 1 Bst. d EG-VO Nr. 883/2004 vom sachlichen Anwendungsbereich der Koordinierungsnormen erfasst. Dementsprechend sind das Freizügigkeitsabkommen und die neuen Koordinationsverordnungen in der ab 1. April 2012 geltenden Version für den Beschwerdeführer anwendbar.</w:t>
      </w:r>
    </w:p>
    <w:p>
      <w:r>
        <w:rPr>
          <w:b/>
        </w:rPr>
        <w:t>E. 4.3.2</w:t>
      </w:r>
    </w:p>
    <w:p>
      <w:r>
        <w:t>Nach Art. 2 Abs. 1 EG-VO Nr. 883/2004 gilt diese Verordnung insbesondere für Staatsangehörige eines Mitgliedstaates. Gemäss Art. 4 EG-VO 883/2004 haben Personen, für welche diese Verordnung gilt (sofern in dieser Verordnung nichts anderes bestimmt ist)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Der Gleichbehandlungsgrundsatz gilt neu auch für alle Personen, die in den Anwendungsbereich der Verordnung fallen und die ausserhalb eines EU-Mitgliedstaates Wohnsitz haben (Art. 7 EG-VO Nr. 883/2004). Bei schweizerischen Staatsangehörigen und Staatsangehörigen der Europäischen Union werden Leistungen der AHV demnach weltweit exportiert. Im Rahmen ihres Geltungsbereichs tritt die EG-VO Nr. 883/2004 an die Stelle aller zwischen den Mitgliedstaaten geltenden Abkommen über soziale Sicherheit.</w:t>
      </w:r>
    </w:p>
    <w:p>
      <w:r>
        <w:rPr>
          <w:b/>
        </w:rPr>
        <w:t>E. 4.3.3</w:t>
      </w:r>
    </w:p>
    <w:p>
      <w:r>
        <w:t>In Bezug auf die Alters- und Hinterbliebenenrenten sieht Art. 50 Abs. 1 EG-VO Nr. 883/2004 vor, dass bei einem Leistungsantrag des Versicherten alle zuständigen Träger die Leistungsansprüche nach den Rechtsvorschriften aller Mitgliedstaaten feststellen, die für die betreffende Person galten (Art. 50 Abs. 1 EG-VO Nr. 883/2004). Der zuständige Träger berechnet den geschuldeten Leistungsbetrag grundsätzlich allein nach den für ihn geltenden Rechtsvorschriften, wenn die Voraussetzungen für den Leistungsanspruch ausschliesslich nach nationalem Recht erfüllt wurden (autonome Leistung), es sei denn, die betreffende Person beantrage ausdrücklich, die Feststellung der nach den Rechtsvorschriften eines oder mehrerer Mitgliedstaaten erworbenen Ansprüche auf Leistungen bei Alter aufzuschieben (Art. 52 Abs. 1 EG-VO Nr. 883/2004). Art. 52 Abs. 1 Bst. b EG-VO Nr. 883/2004 vor, dass der zuständige Träger alsdann eine Vergleichsrechnung vornimmt, bei welcher er einen theoretischen Betrag und im Anschluss daran einen tatsächlichen Betrag (anteilige Leistung) berechnet.</w:t>
      </w:r>
    </w:p>
    <w:p>
      <w:r>
        <w:rPr>
          <w:b/>
        </w:rPr>
        <w:t>E. 4.3.4</w:t>
      </w:r>
    </w:p>
    <w:p>
      <w:r>
        <w:t>Nach Art. 52 Abs. 4 EG-VO Nr. 883/2004 kann auf diese Berechnung nach der Totalisierungs- und Proratisierungsmethode verzichtet werden, wenn die Berechnung allein nach den nationalen Rechtsvorschriften zum gleichen oder zu einem besseren Ergebnis führt als die nach Art. 52 Abs. 1 Bst. b EG-VO Nr. 883/2004 berechnete anteilige Leistung; dieser Verzicht auf die Berechnung der anteiligen Leistung nach dieser Methode steht allerdings unter der Bedingung, dass dieser Fall in Anhang VIII Teil 1 aufgeführt ist (Bst. i) und keine Doppelleistungsbestimmungen (im Sinne von Art. 54 und 55 der EG-VO Nr. 88/2004) anwendbar sind (Bst. ii). Gemäss Art. 57 Abs. 1 EG-VO Nr. 883/2004 ist der Träger eines Mitgliedstaates nicht verpflichtet, Leistungen für Zeiten zu gewähren, die nach den für ihn geltenden Rechtsvorschriften zurückgelegt wurden und bei Eintritt des Versicherungsfalls zu berücksichtigen sind, wenn die Dauer dieser Zeiten weniger als ein Jahr beträgt und aufgrund allein dieser Zeiten kein Leistungsanspruch nach diesen Rechtsvorschriften erworben wurde.</w:t>
      </w:r>
    </w:p>
    <w:p>
      <w:r>
        <w:rPr>
          <w:b/>
        </w:rPr>
        <w:t>E. 4.3.5</w:t>
      </w:r>
    </w:p>
    <w:p>
      <w:r>
        <w:t>Nach der bundesgerichtlichen Rechtsprechung sind bei der Berechnung der Altersrente der AHV die in einem anderen Vertragsstaat zurückgelegten Versicherungszeiten nicht zu berücksichtigen. Es findet kein Totalisierungs- und Proratisierungsverfahren statt, welches darin besteht, dass die Höhe des Rentenbetrags jedes Staates im Verhältnis zwischen den dort zurückgelegten Versicherungszeiten und der Gesamtheit der in den verschiedenen Staaten zurückgelegten Versicherungszeiten festgesetzt wird (Urteil des BGer 9C_9/2018 vom 19. Juni 2018 E. 3.2.2 mit Verweis auf BGE 130 V 51 E. 5.2 ff.).</w:t>
      </w:r>
    </w:p>
    <w:p>
      <w:r>
        <w:rPr>
          <w:b/>
        </w:rPr>
        <w:t>E. 4.3.6</w:t>
      </w:r>
    </w:p>
    <w:p>
      <w:r>
        <w:t>Die Anwendung des innerschweizerischen Rechts für die Beurteilung des Anspruchs des Beschwerdeführers auf eine AHV-Rente und insbesondere deren Berechnung lediglich gestützt auf den schweizerischen Versicherungszeiten widerspricht somit nicht dem FZA. Vielmehr wird dies durch das FZA in Verbindung mit den einschlägigen EU- Koordinationsverordnungen so vorgesehen. Insbesondere, da vorliegend (unstrittig) keiner der Ausnahmetatbestände gemäss Art. 52 Abs. 4 Bst. ii und iii EG-VO 883/2004 vorliegt und unterjährige Versicherungszeiten gem. Art. 57 Abs. 1 EG-VO 883/2004 nicht berücksichtigt werden müssen (vgl. act. 7). Demnach richtet sich der Anspruch des Beschwerdeführers auf eine Rente der AHV, insbesondere auch die Berechnung der Rentenhöhe, weiterhin ausschliesslich nach dem schweizerischen Recht. Eine Berücksichtigung der in Deutschland erworbenen Beitragszeiten für die Rentenberechnung der schweizerischen AHV-Renten scheidet damit aus.</w:t>
      </w:r>
    </w:p>
    <w:p>
      <w:r>
        <w:rPr>
          <w:b/>
        </w:rPr>
        <w:t>E. 5</w:t>
      </w:r>
    </w:p>
    <w:p>
      <w:r>
        <w:t>Zusammenfassend ergibt sich, dass die Vorinstanz die Altersrente des Beschwerdeführers zu Recht ausschliesslich gestützt auf die in der Schweiz zurückgelegten Versicherungszeiten und die nach dem AHVG und der AHVV geleisteten Beiträgen und damit autonom ermittelt hat. Die Beschwerde 12. Oktober 2016 ist offensichtlich unbegründet und im einzelrichterlichen Verfahren gemäss Art. 23 Abs. 2 VGG in Verbindung mit Art. 85bis Abs. 3 AHVG vollumfänglich abzuweisen.</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