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C-6527/2016 vom 5. Januar 2017</w:t>
      </w:r>
    </w:p>
    <w:p>
      <w:r>
        <w:t>Bundesverwaltungsgericht, 2017-01-05, DE</w:t>
      </w:r>
    </w:p>
    <w:p>
      <w:r>
        <w:rPr>
          <w:b/>
        </w:rPr>
        <w:t xml:space="preserve">Quelle: </w:t>
      </w:r>
      <w:r>
        <w:t>https://mcp.opencaselaw.ch/entscheid/bvger_C-6527_2016</w:t>
      </w:r>
    </w:p>
    <w:p>
      <w:r>
        <w:t>FR: TAF C-6527/2016 du 5 janvier 2017</w:t>
      </w:r>
    </w:p>
    <w:p>
      <w:r>
        <w:t>IT: TAF C-6527/2016 del 5 gennaio 2017</w:t>
      </w:r>
    </w:p>
    <w:p>
      <w:pPr>
        <w:pStyle w:val="Heading2"/>
      </w:pPr>
      <w:r>
        <w:t>Regeste</w:t>
      </w:r>
    </w:p>
    <w:p>
      <w:r>
        <w:t>Prämienverbilligungen</w:t>
      </w:r>
    </w:p>
    <w:p>
      <w:pPr>
        <w:pStyle w:val="Heading2"/>
      </w:pPr>
      <w:r>
        <w:t>Erwägungen</w:t>
      </w:r>
    </w:p>
    <w:p>
      <w:r>
        <w:rPr>
          <w:b/>
        </w:rPr>
        <w:t>E. 1</w:t>
      </w:r>
    </w:p>
    <w:p>
      <w:r>
        <w:t>Gemäss Art. 90a Abs. 1 KVG (SR 832.10) in Verbindung mit Art. 18 Abs. 2quinquies KVG und Art. 31 ff. VGG (SR 173.32) ist das Bundesverwaltungsgericht zur Beurteilung der vorliegenden Beschwerde betreffend Prämienverbilligung nach Art. 66a KVG zuständig.</w:t>
      </w:r>
    </w:p>
    <w:p>
      <w:r>
        <w:rPr>
          <w:b/>
        </w:rPr>
        <w:t>E. 1.1</w:t>
      </w:r>
    </w:p>
    <w:p>
      <w:r>
        <w:t>Das Verfahren vor dem Bundesverwaltungsgericht richtet sich grundsätzlich nach dem VwVG (SR 172.021; vgl. Art. 37 VGG). Das ATSG (SR 830.1) findet gemäss Art. 1 Abs. 2 Bst. c KVG auf die Ausrichtung der Prämienverbilligung nach den Art. 65, 65a und 66a KVG - und somit auch im vorliegenden Verfahren - keine Anwendung (vgl. auch Urteil BGer 9C_549/2007 vom 7. März 2008 E. 2.1). Sinngemäss anwendbar sind hingegen die Abs. 2 und 3 des Art. 85bis AHVG (SR 831.10; Art. 18 Abs. 8 KVG). Demnach ist das Verfahren für die Parteien kostenlos (vgl. Art. 85bis Abs. 2 AHVG).</w:t>
      </w:r>
    </w:p>
    <w:p>
      <w:r>
        <w:rPr>
          <w:b/>
        </w:rPr>
        <w:t>E. 1.2</w:t>
      </w:r>
    </w:p>
    <w:p>
      <w:r>
        <w:t>Die Sachurteilsvoraussetzungen gemäss Art. 44 ff. VwVG sind vorliegend erfüllt, weshalb auf die Beschwerde einzutreten ist.</w:t>
      </w:r>
    </w:p>
    <w:p>
      <w:r>
        <w:rPr>
          <w:b/>
        </w:rPr>
        <w:t>E. 2</w:t>
      </w:r>
    </w:p>
    <w:p>
      <w:r>
        <w:t>In zeitlicher Hinsicht sind grundsätzlich diejenigen materiell-rechtlichen Rechtssätze massgebend, die bei der Erfüllung des zu Rechtsfolgen füh-renden Sachverhalts Geltung haben (BGE 134 V 315 E. 1.2; 130 V 329 E. 2.3,). Zur Prüfung des Anspruchs des Beschwerdeführers auf Prämienverbilligung im Jahr 2016 sind vorliegend das KVG in der Fassung vom 1. Januar 2016 und die VPVKEG in der Fassung vom 1. Januar 2012 massgebend.</w:t>
      </w:r>
    </w:p>
    <w:p>
      <w:r>
        <w:rPr>
          <w:b/>
        </w:rPr>
        <w:t>E. 3.1</w:t>
      </w:r>
    </w:p>
    <w:p>
      <w:r>
        <w:t>Gemäss Art. 66a Abs. 1 KVG gewährt der Bund den Versicherten in bescheidenen wirtschaftlichen Verhältnissen, die in einem Mitgliedstaat der Europäischen Gemeinschaft, in Island oder in Norwegen wohnen und eine schweizerische Rente beziehen, Prämienverbilligungen, wobei die Verbilligung auch ihren in der Schweiz versicherten Familienangehörigen gewährt wird.</w:t>
      </w:r>
    </w:p>
    <w:p>
      <w:r>
        <w:rPr>
          <w:b/>
        </w:rPr>
        <w:t>E. 3.2</w:t>
      </w:r>
    </w:p>
    <w:p>
      <w:r>
        <w:t>Die Prämienverbilligung nach Art. 66a KVG wird von der Vorinstanz durchgeführt (vgl. Art. 18 Abs. 2quinquies KVG) und richtet sich zudem nach der vom Bundesrat gestützt auf Art. 66a Abs. 3 KVG erlassenen VPVKEG.</w:t>
      </w:r>
    </w:p>
    <w:p>
      <w:r>
        <w:rPr>
          <w:b/>
        </w:rPr>
        <w:t>E. 3.3</w:t>
      </w:r>
    </w:p>
    <w:p>
      <w:r>
        <w:t>Nach Art. 3 Abs. 1 VPVKEG haben Anspruch auf Prämienverbilligungen versicherte Rentner und Rentnerinnen sowie ihre versicherten Familienangehörigen, wenn die Durchschnittsprämien nach Artikel 7 VPVKEG 6 Prozent des massgebenden Einkommens (im Sinne von Art. 6 VPVKEG) übersteigen. Als Prämienverbilligungen wird der Betrag ausgerichtet, um den die Durchschnittsprämien den Betrag von 6 Prozent des massgebenden Einkommens übersteigen, höchstens aber der Betrag der für den Rentner oder die Rentnerin geltenden Durchschnittsprämie (Art 3 Abs. 2 VPVKEG). Kein Anspruch auf Prämienverbilligungen besteht, wenn das Reinvermögen des Rentners oder der Rentnerin den Wert von 100'000 Franken beziehungsweise 150'000 Franken für Haushalte mit Kindern übersteigt (Art. 3 Abs. 3 Satz 1 VPVKEG). Massgebend für das Reinvermögen, die familiären Verhältnisse und das Wohnland sind die Verhältnisse am 1. Januar des Jahres, für welches Prämienverbilligungen beansprucht werden. Wird der Antrag im Verlaufe eines Jahres gestellt, sind das Reinvermögen, die familiären Verhältnisse und das entsprechende Wohnland bei Beginn des Anspruchs auf Prämienverbilligungen massgebend (Art. 3 Abs. 4 VPVKEG). Massgebend für das anrechenbare Einkommen nach Artikel 4 sind die Einkünfte, die voraussichtlich im Jahr erzielt werden, für das Prämienverbilligungen beansprucht werden (Art. 3 Abs. 5 VPVKEG).</w:t>
      </w:r>
    </w:p>
    <w:p>
      <w:r>
        <w:rPr>
          <w:b/>
        </w:rPr>
        <w:t>E. 3.4</w:t>
      </w:r>
    </w:p>
    <w:p>
      <w:r>
        <w:t>Als anrechenbares Einkommen gelten gemäss Art. 4 VPVKEG die folgenden Einkünfte: a. sämtliche Renteneinkommen; b. Unterhaltsbeiträge; c. Vermögenserträge zugunsten des Rentners oder der Rentnerin; d. Erwerbseinkommen (Abs. 1). Wird anstelle einer Rente eine Kapitalabfindung aus beruflicher Vorsorge ausgerichtet, ist die dieser Kapitalabfindung entsprechende Rente beim Renteneinkommen anzurechnen. (...) Die Kapitalabfindung wird nur soweit angerechnet, wie sie noch in Vermögensform vorhanden ist (Abs. 2).</w:t>
      </w:r>
    </w:p>
    <w:p>
      <w:r>
        <w:rPr>
          <w:b/>
        </w:rPr>
        <w:t>E. 3.5</w:t>
      </w:r>
    </w:p>
    <w:p>
      <w:r>
        <w:t>Für die Festsetzung des massgebenden Einkommens wird das anrechenbare Einkommen nach Artikel 4 im Verhältnis des Kaufkraftunterschiedes zwischen der Schweiz und dem Wohnland des Rentners oder der Rentnerin auf die Kaufkraft im Wohnland umgerechnet (Art. 6 Abs. 1 VPVKEG). Das Eidgenössische Departement des Innern (EDI) bestimmt jährlich den Umrechnungsfaktor pro Mitgliedstaat der Europäischen Gemeinschaft sowie für Island und Norwegen gestützt auf die entsprechenden Statistiken von internationalen Organisationen (Abs. 2).</w:t>
      </w:r>
    </w:p>
    <w:p>
      <w:r>
        <w:rPr>
          <w:b/>
        </w:rPr>
        <w:t>E. 3.6</w:t>
      </w:r>
    </w:p>
    <w:p>
      <w:r>
        <w:t>Massgebend für die Ermittlung des Anspruchs auf Prämienverbilligungen sind die vom Departement jährlich festgelegten Durchschnittsprämien für die obligatorische Krankenpflegeversicherung, welche für Rentner und Rentnerinnen sowie für ihre versicherten Familienangehörigen pro Mitgliedstaat der Europäischen Gemeinschaft sowie in Bezug auf Island und Norwegen gelten (Art. 7 VPVKEG).</w:t>
      </w:r>
    </w:p>
    <w:p>
      <w:r>
        <w:rPr>
          <w:b/>
        </w:rPr>
        <w:t>E. 3.7</w:t>
      </w:r>
    </w:p>
    <w:p>
      <w:r>
        <w:t>In Art. 2 der Verordnung des EDI über die Preisniveauindizes und die Durchschnittsprämien 2016 für den Anspruch auf Prämienverbilligung in der Europäischen Union, in Island und in Norwegen vom 24. November 2015 (nachfolgend: EDI-Verordnung, SR.832.112.51, AS 2015 5133) werden die zur Berechnung des Anspruchs auf Prämienverbilligung massgebenden Prämien pro Mitgliedstaat der Europäischen Union sowie für Island und Norwegen festgesetzt. Für Deutschland beläuft sich die massgebende Durchschnittsprämie für 2016 auf Fr. 332.-.</w:t>
      </w:r>
    </w:p>
    <w:p>
      <w:r>
        <w:rPr>
          <w:b/>
        </w:rPr>
        <w:t>E. 4</w:t>
      </w:r>
    </w:p>
    <w:p>
      <w:r>
        <w:t>Vorliegend ist unbestritten, dass der Beschwerdeführer und dessen Ehefrau für das zur Diskussion stehende Jahr 2016 Anspruch auf eine Prämienverbilligung haben. Unbestritten geblieben ist ferner, dass der Beschwerdeführer nicht über Vermögenswerte verfügt und das massgebende Jahreseinkommen (2016) Fr. 29'452.85 beträgt, womit unter Berücksichtigung der Kaufkraftbereinigung gemäss Art. 1 der EDI-Verordnung für Deutschland (100 : 66) ein Einkommen von Fr. 44'625.50 und (gestützt auf Art 3 Abs. 2 VPVKEG) eine maximale Prämienbelastung von Fr. 2'677.55 (= 6 % von Fr. 44'625.50) resultieren. Nicht umstritten ist ferner, dass sich die effektiven Prämien bei der EGK-Gesundheitskasse auf Fr. 1'188.80 pro Monat (vgl. act. 7) respektive Fr. 14'265.60 pro Jahr belaufen. Strittig und zu prüfen ist demgegenüber, ob bei der Ermittlung der zu gewährenden Prämienverbilligung auf die tatsächlich anfallenden Prämien oder auf die vom Departement ermittelten Durchschnittsprämien abzustellen ist.</w:t>
      </w:r>
    </w:p>
    <w:p>
      <w:r>
        <w:rPr>
          <w:b/>
        </w:rPr>
        <w:t>E. 4.1</w:t>
      </w:r>
    </w:p>
    <w:p>
      <w:r>
        <w:t>Der Beschwerdeführer lässt durch seine Rechtsvertreterin vorbringen, es sei ihm eine Prämienverbilligung in der Höhe der tatsächlich von der EGK-Gesundheitskasse geforderten Prämien von Fr. 14'265.60 (= 12 x Fr. 594.40 x 2 [Anzahl Monate x tatsächliche Prämie x 2 Anspruchsberechtigte]) zu gewähren. Zur Begründung führt er sinngemäss an, aufgrund seines bescheidenen Einkommens und der fehlenden Einkünfte seiner Ehefrau könne er die tatsächlich anfallenden Prämien nicht finanzieren.</w:t>
      </w:r>
    </w:p>
    <w:p>
      <w:r>
        <w:rPr>
          <w:b/>
        </w:rPr>
        <w:t>E. 4.2</w:t>
      </w:r>
    </w:p>
    <w:p>
      <w:r>
        <w:t>Dagegen wendet die Vorinstanz insbesondere ein, massgebend für die Ermittlung des Anspruchs auf Prämienverbilligung seien die vom Departement jährlich festgelegten Durchschnittsprämien für die obligatorische Krankenpflegeversicherung, welche für Rentner und Rentnerinnen sowie für ihre versicherten Familienangehörigen pro Mitgliedstaat der Europäischen Gemeinschaft sowie in Bezug auf Island und Norwegen gelten würden. Der Beschwerdeführer verkenne, dass sämtliche Faktoren gemäss seinem Antrag sehr wohl gewürdigt und in Anwendung der massgebenden Verordnung berücksichtigt worden seien. Aus den vom Beschwerdeführer neu eingereichten Prämienabrechnungsformularen des Grundversicherers vom 15. Oktober 2016 gehe hervor, dass eine korrekte Anrechnung der Prämienverbilligung erfolgt sei. Die ermittelte Prämienverbilligung basiere auf der Anwendung von Art. 3 und 7 VPVKEG. Die vom Beschwerdeführer verlangte Berücksichtigung sämtlicher effektiven Prämien respektive die Ausserachtlassung der vom EDI jährlich publizierten Durchschnittsprämien sei nicht mit der geltenden Rechtslage vereinbar (BVGer act. 5).</w:t>
      </w:r>
    </w:p>
    <w:p>
      <w:r>
        <w:rPr>
          <w:b/>
        </w:rPr>
        <w:t>E. 4.3</w:t>
      </w:r>
    </w:p>
    <w:p>
      <w:r>
        <w:t>Wie vorstehend dargelegt, hat der Bundesrat gestützt auf die gesetzliche Delegationsnorm in Art. 66a KVG in den Art. 3 ff. VPVKEG den Anspruch und die Höhe der Prämienverbilligungen geregelt. Als Prämienverbilligungen wird dabei laut Art. 3 Abs. 2 VPVKEG der Betrag ausgerichtet, um den die Durchschnittsprämien den Betrag von 6 Prozent des massgebenden Einkommens im Sinne von Art. 6 VPVKEG übersteigen, höchstens aber der Betrag der Durchschnittsprämien. Gestützt auf Art. 7 VPVKEG legt das Departement jährlich die Höhe der Durchschnittsprämien fest. In Art. 2 der EDI-Verordnung hat das Departement die zur Berechnung des Anspruchs auf Prämienverbilligung massgebenden Durchschnittsprämien (2016) für Deutschland auf Fr. 332.- festgesetzt. Nach dem unmissverständlichen Wortlaut von Art. 3 Abs. 2 VPVKEG sind für die Ermittlung des Anspruchs auf Prämienverbilligungen nicht die tatsächlich dem Krankenversicherer zu leistenden Prämien, sondern vielmehr die vom Departement festgesetzten Durchschnittsprämien massgebend. Soweit der Beschwerdeführer die Berücksichtigung seiner tatsächlich zu leistenden Prämien fordert, kann ihm nicht gefolgt werden, da seine Argumentation im Widerspruch zu Art. 3 Abs. 2 i.V.m. Art. 7 VPVKEG und Art. 2 der EDI-Verordnung steht. Gründe, welche ein Abweichen vom klaren und unmissverständlichen Wortlaut gebieten, sind nicht ersichtlich und werden vom Beschwerdeführer auch nicht geltend gemacht. Im Zusammenhang mit der Einführung der Prämienverbilligung an Versicherte mit Wohnsitz in einem Mitgliedstaat der Europäischen Gemeinschaft hat der Gesetzgeber dem Bundesrat einen weitgehenden Ermessensspielraum eingeräumt (vgl. dazu Botschaft des Bundesrates betreffend die Änderung des Bundesgesetzes über die Krankenversicherung vom 31. Mai 2000; BBl 2000 483, S. 4099), so dass sich die dargelegte Verordnungsregelung im Rahmen der gesetzlichen Delegation hält. Auch mit Blick auf den Zweck der gesetzlichen Regelung, welcher auf eine wirtschaftliche Entlastung von Versicherten (ohne aktuellen Anknüpfungspunkt in der Schweiz) in bescheidenen wirtschaftlichen Verhältnissen abzielt, erweist sich eine auf die durchschnittlichen Kosten abstellende Lösung als sachgerecht.</w:t>
      </w:r>
    </w:p>
    <w:p>
      <w:r>
        <w:rPr>
          <w:b/>
        </w:rPr>
        <w:t>E. 4.4</w:t>
      </w:r>
    </w:p>
    <w:p>
      <w:r>
        <w:t>Aus dem Gesagten folgt zusammengefasst, dass die Vorinstanz zur Ermittlung des Anspruchs auf Prämienverbilligung zu Recht auf die in der EDI-Verordnung ermittelten Durchschnittsprämien abgestellt hat. Die - auf der Basis der massgeblichen Bestimmungen von Art. 3 Abs. 2 i.V.m. Art. 7 VPVKEG und Art. 2 der EDI-Verordnung ermittelte - maximale Prämienverbilligung für ein in der Schweiz nach KVG versichertes Ehepaar mit Wohnsitz in Deutschland beläuft sich demnach für das Jahr 2016 auf Fr. 7'968.- (= 2 x Fr. 332.- x 12). Unter Berücksichtigung der unbestrittenen maximalen Prämienbelastung für den Beschwerdeführer von Fr. 2'677.55 (= 6 % von Fr. 44'625.50) resultiert mithin als Differenz ein Anspruch auf Prämienverbilligungen in der Höhe von Fr. 5'290.45 (= Fr. 7'968.- ./. Fr. 2'677.55). Die angefochtene Verfügung erweist sich daher als rechtmässig.</w:t>
      </w:r>
    </w:p>
    <w:p>
      <w:r>
        <w:rPr>
          <w:b/>
        </w:rPr>
        <w:t>E. 5</w:t>
      </w:r>
    </w:p>
    <w:p>
      <w:r>
        <w:t>Die Beschwerde ist demnach offensichtlich unbegründet, weshalb nach durchgeführtem Schriftenwechsel und Vorprüfung auf Abweisung zu erkennen und die angefochtene Verfügung vom 20. September 2016 zu bestätigen ist (Art. 18 Abs. 8 KVG i.V.m. Art. 85 Abs. 3 AHVG).</w:t>
      </w:r>
    </w:p>
    <w:p>
      <w:r>
        <w:rPr>
          <w:b/>
        </w:rPr>
        <w:t>E. 5.1</w:t>
      </w:r>
    </w:p>
    <w:p>
      <w:r>
        <w:t>Das Verfahren ist kostenlos (Art. 18 Abs. 8 KVG i.V.m. Art. 85bis Abs. 2 AHVG), weshalb keine Verfahrenskosten zu erheben sind. Das vom Beschwerdeführer gestellte Gesuch um Befreiung von Verfahrenskosten ist damit hinfällig.</w:t>
      </w:r>
    </w:p>
    <w:p>
      <w:r>
        <w:rPr>
          <w:b/>
        </w:rPr>
        <w:t>E. 5.2</w:t>
      </w:r>
    </w:p>
    <w:p>
      <w:r>
        <w:t>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r>
        <w:rPr>
          <w:b/>
        </w:rPr>
        <w:t>E. 5.3</w:t>
      </w:r>
    </w:p>
    <w:p>
      <w:r>
        <w:t>Sofern und soweit der Beschwerdeführer mit seinem Begehren um Kostenbefreiung auch die unentgeltliche Vertretung im Beschwerdeverfahren beantragt, ist dieses Begehren infolge Aussichtslosigkeit abzuweisen (vgl. dazu Art. 65 Abs. 1 und 2 VwVG; Moser/Beusch/Kneubühler, Prozessieren vor dem Bundesverwaltungsgericht, 2. Aufl. 2013, S. 281 ff.). Darüber hinaus hat eine im Rahmen des freien Dienstleistungsverkehrs tätige Rechtsanwältin, welche nicht im einem kantonalen Anwaltsregister der Schweiz eingetragen ist, im Rahmen der unentgeltlichen Verbeiständung grundsätzlich keinen Anspruch auf Zulassung im vorliegenden Beschwerdeverfahren (Teilurteil des BVGer C-4032/2014 vom 3. November 2016 E. 3.5 - 3.8).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