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C-6526/2007 vom 8. Juli 2008</w:t>
      </w:r>
    </w:p>
    <w:p>
      <w:r>
        <w:t>Bundesverwaltungsgericht, 2008-07-08, FR</w:t>
      </w:r>
    </w:p>
    <w:p>
      <w:r>
        <w:rPr>
          <w:b/>
        </w:rPr>
        <w:t xml:space="preserve">Quelle: </w:t>
      </w:r>
      <w:r>
        <w:t>https://mcp.opencaselaw.ch/entscheid/bvger_C-6526_2007</w:t>
      </w:r>
    </w:p>
    <w:p>
      <w:r>
        <w:t>FR: TAF C-6526/2007 du 8 juillet 2008</w:t>
      </w:r>
    </w:p>
    <w:p>
      <w:r>
        <w:t>IT: TAF C-6526/2007 del 8 luglio 2008</w:t>
      </w:r>
    </w:p>
    <w:p>
      <w:pPr>
        <w:pStyle w:val="Heading2"/>
      </w:pPr>
      <w:r>
        <w:t>Regeste</w:t>
      </w:r>
    </w:p>
    <w:p>
      <w:r>
        <w:t>Rentes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l'octroi de rente de vieillesse peuvent être contestées devant le Tribunal administratif fédéral conformément à l'art. 85bis al. 1 de la Loi fédérale du 20 décembre 1946 sur l'assurance-vieillesse et survivants (LAVS, RS 831.10).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3.2</w:t>
      </w:r>
    </w:p>
    <w:p>
      <w:r>
        <w:t>L'art. 50 du Règlement sur l'assurance-vieillesse et survivants du 31 octobre 1947 (RAVS ;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(périodes pendant lesquelles son conjoint a versé au moins le double de la cotisation minimale et périodes pour lesquelles des bonifications pour tâches éducatives ou pour tâches d'assistance peuvent être prises en compte).</w:t>
      </w:r>
    </w:p>
    <w:p>
      <w:r>
        <w:rPr>
          <w:b/>
        </w:rPr>
        <w:t>E. 3.3</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3.4</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(ATFA du 24 juillet 1985 dans la cause K. [H 94/84]). Il faut toutefois, pour qu'une période limitée dans le temps soit comptabilisée, que des cotisations aient été versées durant l'année considérée.</w:t>
      </w:r>
    </w:p>
    <w:p>
      <w:r>
        <w:rPr>
          <w:b/>
        </w:rPr>
        <w:t>E. 3.5</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3.6</w:t>
      </w:r>
    </w:p>
    <w:p>
      <w:r>
        <w:t>En l'espèce, le recourant n'a pas apporté de documents attestant de façon indubitable la durée de ses rapports de travail durant les années 1962 et 1963. Il n'a notamment pas fourni de certificat de travail ni de fiches de paies établissant sa période d'engagement en Suisse. Dès lors les "Tables pour la détermination de la durée présumable de cotisations des années 1948 - 1968" publiées par l'OFAS sont obligatoirement applicables pour déterminer sa période de travail. Selon ces tables, pour l'année 1963 qui est litigieuse, vu le revenu de Fr. 5'000.- enregistré sur le CI de l'assuré (Fr. 3'600.- + Fr. 1'400.-), il appert qu'une durée de cotisations probable de 6 mois peut être retenue en application des tables des branches économiques 30 et 37 (arts graphiques, industrie métallurgique et des machines, industrie de la pierre et de la terre, industrie du bois et du liège). Cette période de 6 mois, qui s'ajoute à la période de 4 mois non contestée de l'année 1962, totalise une durée de cotisations de 10 mois. Cette durée est insuffisante pour ouvrir le droit à une rente de vieillesse. Mal fondé le recours doit être rejeté.</w:t>
      </w:r>
    </w:p>
    <w:p>
      <w:r>
        <w:rPr>
          <w:b/>
        </w:rPr>
        <w:t>E. 4</w:t>
      </w:r>
    </w:p>
    <w:p>
      <w:r>
        <w:t>Il n'est pas perçu de frais de procédure (art. 85bis al. 2 LAVS) ni alloué de dépens (art. 64 al. 1 PA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