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C-6520/2017 vom 21. April 2020</w:t>
      </w:r>
    </w:p>
    <w:p>
      <w:r>
        <w:t>Bundesverwaltungsgericht, 2020-04-21, DE</w:t>
      </w:r>
    </w:p>
    <w:p>
      <w:r>
        <w:rPr>
          <w:b/>
        </w:rPr>
        <w:t xml:space="preserve">Quelle: </w:t>
      </w:r>
      <w:r>
        <w:t>https://mcp.opencaselaw.ch/entscheid/bvger_C-6520_2017</w:t>
      </w:r>
    </w:p>
    <w:p>
      <w:r>
        <w:t>FR: TAF C-6520/2017 du 21 avril 2020</w:t>
      </w:r>
    </w:p>
    <w:p>
      <w:r>
        <w:t>IT: TAF C-6520/2017 del 21 aprile 2020</w:t>
      </w:r>
    </w:p>
    <w:p>
      <w:pPr>
        <w:pStyle w:val="Heading2"/>
      </w:pPr>
      <w:r>
        <w:t>Regeste</w:t>
      </w:r>
    </w:p>
    <w:p>
      <w:r>
        <w:t>Eingliederungsmassnahmen</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Auf die frist- und formgerecht eingereichte Beschwerde ist einzutreten (Art. 60 ATSG; Art. 50 Abs. 1 und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2.4</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2.5</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18. Oktober 2017 in Kraft standen; weiter aber auch Vorschriften, die zu jenem Zeitpunkt bereits ausser Kraft getreten waren, die aber für die Beurteilung allenfalls früher entstandener Leistungsansprüche von Belang sind.</w:t>
      </w:r>
    </w:p>
    <w:p>
      <w:r>
        <w:rPr>
          <w:b/>
        </w:rPr>
        <w:t>E. 3</w:t>
      </w:r>
    </w:p>
    <w:p>
      <w:r>
        <w:t>Streitig und zu prüfen ist, ob der Beschwerdeführer Anspruch auf berufliche Eingliederungsmassnahmen hat.</w:t>
      </w:r>
    </w:p>
    <w:p>
      <w:r>
        <w:rPr>
          <w:b/>
        </w:rPr>
        <w:t>E. 3.1</w:t>
      </w:r>
    </w:p>
    <w:p>
      <w:r>
        <w:t>Bei der obligatorischen Alters-, Hinterlassenen- und Invalidenversicherung (AHV/IV) sind nur Personen mit Wohnsitz oder Erwerbstätigkeit in der Schweiz versichert (Art. 1a Abs. 1 lit. a und b AHVG [SR 831.10] i.V.m. Art. 1b IVG). Unter der Marginalie "Versicherungsmässige Voraussetzungen" sieht Art. 9 IVG vor, dass Eingliederungsmassnahmen in der Schweiz, ausnahmsweise auch im Ausland, gewährt werden. Der Anspruch darauf entsteht frühestens mit der Unterstellung unter die obligatorische oder die freiwillige Versicherung und endet spätestens mit dem Ende der Versicherung (Abs. 1bis). Mit anderen Worten muss eine Person der Versicherung unterstellt sein, sobald und solange sie Eingliederungsmassnahmen beansprucht (...). Die (...) für sämtliche Eingliederungsmassnahmen geltende, in Art. 9 Abs. 1bis IVG statuierte Voraussetzung der Versicherungsunterstellung hat zur Folge, dass das Recht auf entsprechende Leistungen erlischt, sobald die betreffende Person nicht mehr versichert ist. In diesem Sinne führt das Ende der Versicherungsunterstellung zum Verlust des Anspruchs auf Eingliederungsmassnahmen (vgl. BGE 145 V 266 E. 4.2 [Urteil des BGer 9C_760/2018 vom 17. Juli 2019 E. 4.2] mit Hinweis auf BGE 143 V 261 E. 5.2.1 S. 266; Meyer/Reichmuth, Bundesgesetz über die Invalidenversicherung, 3. Aufl. 2014, Rz. 8 zu Art. 9 IVG; Erwin Murer, Invalidenversicherungsgesetz [Art. 1-27bis IVG], 2014, Rz. 50 zu Art. 9 IVG).</w:t>
      </w:r>
    </w:p>
    <w:p>
      <w:r>
        <w:rPr>
          <w:b/>
        </w:rPr>
        <w:t>E. 3.2</w:t>
      </w:r>
    </w:p>
    <w:p>
      <w:r>
        <w:t>Der Beschwerdeführer reiste (soweit ersichtlich) am 30. September 2015 aus der Schweiz aus, nachdem das Bundesgericht mit BGE 141 II 1 (Urteil 2C_195/2014 vom 12. Januar 2015) die Nichtverlängerung der Aufenthaltsbewilligung und die Wegweisung aus der Schweiz im Ergebnis bestätigt hatte (act. 165, 175, Seite 4). Es steht fest, dass der Beschwerdegegner nicht mehr in der Schweiz, sondern in Deutschland wohnt und seither auch nicht mehr in der Schweiz erwerbstätig ist. Damit erfüllte er im massgebenden Zeitpunkt des Verfügungserlasses (18. Oktober 2017) die versicherungsmässigen Voraussetzungen für Leistungen der Invalidenversicherung gemäss Art. 1b IVG in Verbindung mit Art. 1a AHVG nicht mehr. Mit dem Wegfall der Versicherungsunterstellung hatte er gemäss Art. 9 Abs. 1bis IVG keinen Anspruch mehr auf berufliche Eingliederungsmassnahmen. Somit wurden berufliche Massnahmen mit der angefochtenen Verfügung zu Recht verweigert.</w:t>
      </w:r>
    </w:p>
    <w:p>
      <w:r>
        <w:rPr>
          <w:b/>
        </w:rPr>
        <w:t>E. 3.3</w:t>
      </w:r>
    </w:p>
    <w:p>
      <w:r>
        <w:t>Die Umstände, die der Versicherte in der Beschwerde und der Replik schildert, vermögen daran nichts zu ändern. Auf die geltend gemachten Einzelheiten ist an dieser Stelle nicht einzugehen, weil sie in Anbetracht der klaren Rechtslage in Bezug auf die versicherungsmässigen Voraussetzungen gemäss Art. 9 Abs. 1bis IVG letztlich allesamt nicht von Relevanz sind. Anzumerken ist aber Folgendes: Das Bundesgericht verneinte in der Erwägung 4.2.3 des BGE 141 II 1 «einen Anspruch auf Bewilligungsverlängerung» (bei vorher verlorenem Arbeitnehmerstatus) explizit auch im Hinblick auf berufliche Eingliederungsmassnahmen seitens der Invalidenversicherung. Das Bundesgericht hat somit die Nichtverlängerung der Aufenthaltsbewilligung und die Wegweisung aus der Schweiz in Kenntnis des laufenden IV-Verfahrens bestätigt. Dies scheint der Beschwerdeführer in seinen Ausführungen zu verkennen. Dass die IV-Stelle G._______ von der kurz bevorstehenden Wegweisung aus Schweiz (soweit ersichtlich) erst am 6. Juli 2015 in Kenntnis gesetzt wurde (act. 175, Seite 4), mag erklären, weshalb deren Vorgehensweise seitens des Beschwerdeführers als «ex-trem widersprüchlich» empfunden wurde (BVGer act. 7). Dies ändert aber nichts daran, dass eine Person der Versicherung unterstellt sein muss, sobald und solange sie Eingliederungsmassnahmen beansprucht, was vorliegend seit dem 30. September 2015 nicht mehr der Fall ist. Weitergehende Ausführungen können unterbleiben.</w:t>
      </w:r>
    </w:p>
    <w:p>
      <w:r>
        <w:rPr>
          <w:b/>
        </w:rPr>
        <w:t>E. 4</w:t>
      </w:r>
    </w:p>
    <w:p>
      <w:r>
        <w:t>Zusammenfassend ist festzuhalten, dass sich die Beschwerde als offensichtlich unbegründet erweist, sodass sie im einzelrichterlichen Verfahren gemäss Art. 23 Abs. 2 VGG in Verbindung mit Art. 69 Abs. 2 IVG und Art. 85bis Abs. 3 AHVG abzuweisen ist.</w:t>
      </w:r>
    </w:p>
    <w:p>
      <w:r>
        <w:rPr>
          <w:b/>
        </w:rPr>
        <w:t>E. 5.1</w:t>
      </w:r>
    </w:p>
    <w:p>
      <w:r>
        <w:t>Das Beschwerdeverfahren ist kostenpflichtig (Art. 69 Abs. 1bis i.V.m. Art. 69 Abs. 2 IVG), wobei die Verfahrenskosten grundsätzlich der unterliegenden Partei auferlegt werden (Art. 63 Abs. 1 VwVG). Dem unterliegenden Beschwerdeführer sind jedoch keine Verfahrenskosten aufzuerlegen, weil seinem Gesuch um unentgeltliche Rechtspflege mit Zwischenverfügung vom 22. Dezember 2017 stattgegeben wurde (BVGer act. 5).</w:t>
      </w:r>
    </w:p>
    <w:p>
      <w:r>
        <w:rPr>
          <w:b/>
        </w:rPr>
        <w:t>E. 5.2</w:t>
      </w:r>
    </w:p>
    <w:p>
      <w:r>
        <w:t>Der Rechtsvertreter des Beschwerdeführers hat als amtlich bestellter Anwalt (Art. 65 Abs. 2 VwVG) Anspruch auf eine Entschädigung aus der Gerichtskasse. Die Bemessung richtet sich nach den für die Parteientschädigung geltenden Grundsätzen (Art. 12 i.V.m. Art. 8 ff. VGKE), wobei die Mehrwertsteuer auch dann geschuldet ist, wenn die beschwerdeführende Partei ihren Wohnsitz im Ausland hat (vgl. BGE 141 IV 344 E. 4). Aufgrund der detaillierten Kostennote des Rechtsvertreters ist ihm inklusive Auslagen und Mehrwertsteuer eine Entschädigung von total CHF 1'060.30 zuzusprechen (BVGer act. 7, Beilage). Gelangt der Beschwerdeführer später zu hinreichenden Mitteln, so ist er verpflichtet, der Gerichtskasse Ersatz zu leisten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