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C-6519/2014 vom 19. August 2016</w:t>
      </w:r>
    </w:p>
    <w:p>
      <w:r>
        <w:t>Bundesverwaltungsgericht, 2016-08-19, DE</w:t>
      </w:r>
    </w:p>
    <w:p>
      <w:r>
        <w:rPr>
          <w:b/>
        </w:rPr>
        <w:t xml:space="preserve">Quelle: </w:t>
      </w:r>
      <w:r>
        <w:t>https://mcp.opencaselaw.ch/entscheid/bvger_C-6519_2014</w:t>
      </w:r>
    </w:p>
    <w:p>
      <w:r>
        <w:t>FR: TAF C-6519/2014 du 19 août 2016</w:t>
      </w:r>
    </w:p>
    <w:p>
      <w:r>
        <w:t>IT: TAF C-6519/2014 del 19 agosto 2016</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29. Oktober 2014, mit dem die Vorinstanz die mit Verfügung vom 8. Oktober 2014 neu festgesetzt Altersrenten von Fr. 1'437.- ab 1. November 2014 bestätigt hat. Strittig und vom Bundesverwaltungsgericht zu prüfen ist die Höhe des Kürzungsabzugs wegen Rentenvorbezug von Fr. 316.- bei der Altersrente des Beschwerdeführers. Im Übrigen wird die Rentenberechnung durch die Vorinstanz nicht in Frage gestellt und ist nicht zu beanstanden.</w:t>
      </w:r>
    </w:p>
    <w:p>
      <w:r>
        <w:rPr>
          <w:b/>
        </w:rPr>
        <w:t>E. 3.1</w:t>
      </w:r>
    </w:p>
    <w:p>
      <w:r>
        <w:t>Der Beschwerdeführer ist Schweizer Staatsangehöriger und wohnt seit dem 1. Januar 2013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vorliegend der Anspruch des Beschwerdeführers auf eine Rente der AHV nach dem internen schweizerischen Recht.</w:t>
      </w:r>
    </w:p>
    <w:p>
      <w:r>
        <w:rPr>
          <w:b/>
        </w:rPr>
        <w:t>E. 3.2</w:t>
      </w:r>
    </w:p>
    <w:p>
      <w:r>
        <w:t>In zeitlicher Hinsicht sind grundsätzlich diejenigen materiellen Rechts-sätze massgebend, die bei der Erfüllung des zu Rechtsfolgen führenden Tatbestandes Geltung hatten (BGE 130 V 445 E. 1.2.1; 127 V 466 E. 1; 126 V 134 E. 4b). Die Frage, ob die Vorinstanz die Neuberechnung der Altersrente des Beschwerdeführers korrekt durchgeführt hat, beurteilt sich somit grundsätzlich nach den im November 2014 (Beginn Rentenbezug Ehefrau) gültigen Bestimmungen des AHVG und der AHVV (SR 831.101).</w:t>
      </w:r>
    </w:p>
    <w:p>
      <w:r>
        <w:rPr>
          <w:b/>
        </w:rPr>
        <w:t>E. 4.1</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 Gemäss Art. 40 Abs. 1 AHVG kann eine Altersrente um ein oder zwei Jahre vorbezogen werden, was jedoch eine entsprechende Kürzung der Rente mit sich zieht (vgl. Art. 40 Abs. 2 AHVG).</w:t>
      </w:r>
    </w:p>
    <w:p>
      <w:r>
        <w:rPr>
          <w:b/>
        </w:rPr>
        <w:t>E. 4.2</w:t>
      </w:r>
    </w:p>
    <w:p>
      <w:r>
        <w:t>Die ordentlichen Renten der AHV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Dabei bestimmt sich die Beitragsdauer einer versicherten Person in der Regel nach den Einträgen in ihren individuellen Konten (Art. 30ter AHVG).</w:t>
      </w:r>
    </w:p>
    <w:p>
      <w:r>
        <w:rPr>
          <w:b/>
        </w:rPr>
        <w:t>E. 4.3</w:t>
      </w:r>
    </w:p>
    <w:p>
      <w:r>
        <w:t>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unter anderem vorgenommen, wenn beide Ehegatten rentenberechtigt sind (Bst. a). Wenn beide Ehegatten Anspruch auf eine Altersrente haben, beträgt die Summe der beiden Renten eines Ehepaares maximal 150 Prozent des Höchstbetrages der Altersrente (Art. 35 Abs. 1 Bst. a AHVG). Damit kommt es gegebenenfalls zu einer proportionalen Kürzung der beiden Einzelrenten, der sogenannten Rentenplafonierung. Diese beginnt im Monat nach dem zweiten Versicherungsfall oder der Heirat zweier AHV/IV-Rentner (Marco Reichmuth, AHV-Renten, in: Recht der sozialen Sicherheit, Handbücher für die Anwaltspraxis, Band XI, 2014, S. 881 Rz. 24.126).</w:t>
      </w:r>
    </w:p>
    <w:p>
      <w:r>
        <w:rPr>
          <w:b/>
        </w:rPr>
        <w:t>E. 5</w:t>
      </w:r>
    </w:p>
    <w:p>
      <w:r>
        <w:t>Der Beschwerdeführer macht geltend, dass seine Rentenkürzung um Fr. 79.- zu hoch sei und bei ihm der Abzug nicht Fr. 318.- sondern, wie bei seiner Ehegattin, Fr. 239.- zu betragen habe. Es gilt daher nachfolgend zu beurteilen, ob die Rentenkürzung beim Beschwerdeführer im Umfang von Fr. 318.- rechtens ist.</w:t>
      </w:r>
    </w:p>
    <w:p>
      <w:r>
        <w:rPr>
          <w:b/>
        </w:rPr>
        <w:t>E. 5.1</w:t>
      </w:r>
    </w:p>
    <w:p>
      <w:r>
        <w:t>Die Kürzung der Rente wegen Vorbezugs erfolgt nach einem vom Bundesrat nach versicherungstechnischen Grundsätzen festgelegten Satz. Dabei lautet Art. 56 AHVV wie folgt: 1 Die Rente wird um den Gegenwert der vorbezogenen Rente gekürzt. 2 Bis zum Rentenalter entspricht dieser Betrag pro Vorbezugsjahr 6,8 Prozent der vorbezogenen Rente. 3 Nach Erreichen des Rentenalters entspricht dieser Betrag pro Vorbezugsjahr 6,8 Prozent der Summe der ungekürzten Renten, dividiert durch die Anzahl der Monate, während denen die Rente bezogen wurde. 4 Der Betrag der Kürzung wird der Lohn- und Preisentwicklung angepasst. Gemäss Rz. 6206 der Wegleitung über die Renten in der Eidgenössischen Alters-, Hinterlassenen-, und Invalidenversicherung Stand 1. Januar 2016 (RWL; abrufbar unter: http://www.bsv.admin.ch/index.html?lang=de &gt; Praxis &gt; AHV &gt; Grundlagen AHV &gt; Weisungen Renten; besucht im August 2016), die als Verwaltungsverordnung allerdings für das Bundesverwaltungsgericht nicht verbindlich ist, aber als Auslegungshilfe beigezogen werden kann (vgl. Häfelin/Müller/Uhlmann, Allgemeines Verwaltungsrecht, 7. Aufl. 2016, N. 87), wird - wie im Falle des Beschwerdeführers - der Kürzungsbetrag nach Vollendung des Rentenalters ermittelt, indem die Summe der ungekürzt vorbezogenen Rentenbetreffnisse durch die Anzahl Monate dividiert (12 oder 24 Monate) und dieser Betrag mit dem zutreffenden Prozentsatz (3,4%, 6,8% oder 13,6%) multipliziert. So bleibt der ermittelte Kürzungsbetrag gemäss Rz. 6208 RWL anschliessend unverändert, ausser bei der Ablösung der vorbezogenen Altersrente durch Hinterlassenenrenten und infolge der Anpassung an die Lohn- und Preisentwicklung bei allgemeinen Rentenerhöhungen. Diese Feststellung entspricht Art. 56 Abs. 3 AHVV. Zudem bestehen keine Anzeichen dafür, dass der in Art. 56 Abs. 3 AHVV vorgesehene Kürzungsmechanismus versicherungstechnischen Grundsätzen widersprechen könnte, leuchtet es doch ein, dass die (lebenslange) Finanzierung der Vorbezugssumme unabhängig von allfälligen späteren Rentenfestlegungen erfolgen muss (vorbehältlich der Teuerungsanpassung), besteht doch ansonsten die Gefahr, dass entgegen Art. 56 Abs. 1 AHVV nicht der gesamte Gegenwert der vorbezogenen Rente erstattet wird.</w:t>
      </w:r>
    </w:p>
    <w:p>
      <w:r>
        <w:rPr>
          <w:b/>
        </w:rPr>
        <w:t>E. 5.2</w:t>
      </w:r>
    </w:p>
    <w:p>
      <w:r>
        <w:t>Nachfolgend gilt es daher den vom Kürzungsbetrag der Ehegattin abweichenden Kürzungsbetrag der Altersrente des Beschwerdeführers zu prüfen. Massgebender Zeitpunkt für die Beurteilung ist der 1. November 2014. In Bezug auf die Ehefrau des Beschwerdeführers gilt zu beachten, dass sie zu diesem Zeitpunkt das Rentenalter noch nicht erreicht hatte und in ihrem Fall der zweijährige Rentenvorbezug nach Art. 56 Abs. 2 AHVV zu berechnen war. Auf dieser Grundlage wurde ihre Rente um 13,6% gekürzt (Akten der Schweizerischen Ausgleichskasse betreffend die Ehefrau 9 S. 13). Hingegen hatte der Beschwerdeführer am 1. November 2014 das Rentenalter bereits erreicht, weshalb seine Rente nach Massgabe von Art. 56 Abs. 3 AHVV sowie Rz. 6206 RWL zu kürzen war. Im Falle des Beschwerdeführers ergibt die Summe der von Juli 2012 bis Juni 2014 ausbezahlten Renten Fr. 56'040.- (von Juli 2012 bis Dezember 2012 ein monatlicher Betrag von Fr. 2'320.-, ausmachend 13'920.- und von Januar 2013 bis Juni 2014 ein monatlicher Betrag von Fr. 2'234.-, ausmachend Fr. 42'120.-). Diesen Betrag gilt es schliesslich durch die 24 Monate des Vorbezugs zu dividieren und um den Kürzungssatz von 13,6% zu multiplizieren, was aufgerundet den in Bezug auf den Kürzungsbetrag der Ehefrau um Fr. 79.- höheren Kürzungsbetrag von Fr. 318.- ([Fr. 56'040.- : 24] * 13,6% = Fr. 317.56) ergibt und den Berechnungen der Vorinstanz entspricht (SAK-act. 18 S. 3). Ist der Beschwerdeführer folglich der Ansicht die Rentenkürzung erfolge um 13,6% der aktuellen, infolge Splittings und Plafonierung gekürzten Rente, so geht er in seiner Annahme fehl.</w:t>
      </w:r>
    </w:p>
    <w:p>
      <w:r>
        <w:rPr>
          <w:b/>
        </w:rPr>
        <w:t>E. 6</w:t>
      </w:r>
    </w:p>
    <w:p>
      <w:r>
        <w:t>Zusammenfassend ist daher festzustellen, dass der Einwand des Beschwerdeführers, wonach sein Kürzungsbetrag zu hoch bemessen worden sei und gleich hoch sein sollte, wie derjenige seiner Ehefrau zu Unrecht erhoben wurde. Damit hat die Vorinstanz die Altersrente des Beschwerdeführers korrekt neu festgesetzt und ihre Berechnung des Kürzungsbetrages ist nicht zu beanstanden. Die Beschwerde erweist sich als offensichtlich unbegründet, weshalb sie im einzelrichterlichen Verfahren abzuweisen ist (Art. 23 Abs. 2 VGG i.V.m. Art. 85bis Abs. 3 AHVG).</w:t>
      </w:r>
    </w:p>
    <w:p>
      <w:r>
        <w:rPr>
          <w:b/>
        </w:rPr>
        <w:t>E. 7</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