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C-6512/2009 vom 7. September 2010</w:t>
      </w:r>
    </w:p>
    <w:p>
      <w:r>
        <w:t>Bundesverwaltungsgericht, 2010-09-07, DE</w:t>
      </w:r>
    </w:p>
    <w:p>
      <w:r>
        <w:rPr>
          <w:b/>
        </w:rPr>
        <w:t xml:space="preserve">Quelle: </w:t>
      </w:r>
      <w:r>
        <w:t>https://mcp.opencaselaw.ch/entscheid/bvger_C-6512_2009</w:t>
      </w:r>
    </w:p>
    <w:p>
      <w:r>
        <w:t>FR: TAF C-6512/2009 du 7 septembre 2010</w:t>
      </w:r>
    </w:p>
    <w:p>
      <w:r>
        <w:t>IT: TAF C-6512/2009 del 7 settembre 2010</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23. September 2009 wird aufgehoben.</w:t>
      </w:r>
    </w:p>
    <w:p>
      <w:r>
        <w:rPr>
          <w:b/>
        </w:rPr>
        <w:t>E. 2</w:t>
      </w:r>
    </w:p>
    <w:p>
      <w:r>
        <w:t>Das Bundesverwaltungsgericht nimmt die Eingabe vom 23. Dezember 2008 als Beschwerde gegen die leistungsabweisende Verfügung vom 2. Dezember 2008 entgegen und eröffnet diesbezüglich ein neues Instruktionsverfahren (C-6386/2010).</w:t>
      </w:r>
    </w:p>
    <w:p>
      <w:r>
        <w:rPr>
          <w:b/>
        </w:rPr>
        <w:t>E. 3</w:t>
      </w:r>
    </w:p>
    <w:p>
      <w:r>
        <w:t>Es werden keine Verfahrenskosten erhoben und es wird keine Parteientschädigung zugesprochen.</w:t>
      </w:r>
    </w:p>
    <w:p>
      <w:r>
        <w:rPr>
          <w:b/>
        </w:rPr>
        <w:t>E. 4</w:t>
      </w:r>
    </w:p>
    <w:p>
      <w:r>
        <w:t>Dieses Urteil geht an: die Beschwerdeführerin (Einschreiben mit Rückschein)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