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C-650/2011 vom 6. März 2012</w:t>
      </w:r>
    </w:p>
    <w:p>
      <w:r>
        <w:t>Bundesverwaltungsgericht, 2012-03-06, FR</w:t>
      </w:r>
    </w:p>
    <w:p>
      <w:r>
        <w:rPr>
          <w:b/>
        </w:rPr>
        <w:t xml:space="preserve">Quelle: </w:t>
      </w:r>
      <w:r>
        <w:t>https://mcp.opencaselaw.ch/entscheid/bvger_C-650_2011</w:t>
      </w:r>
    </w:p>
    <w:p>
      <w:r>
        <w:t>FR: TAF C-650/2011 du 6 mars 2012</w:t>
      </w:r>
    </w:p>
    <w:p>
      <w:r>
        <w:t>IT: TAF C-650/2011 del 6 marzo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 ce qui motive qu'il y soit fait également référence. Les dispositions de la 6ème révision (premier volet) de la LAI en vigueur depuis le 1er janvier 2012 (RO 2011 5659; FF 2010 1647) ne sont pas applicables.</w:t>
      </w:r>
    </w:p>
    <w:p>
      <w:r>
        <w:rPr>
          <w:b/>
        </w:rPr>
        <w:t>E. 4</w:t>
      </w:r>
    </w:p>
    <w:p>
      <w:r>
        <w:t>L'intéressée a déposé sa demande de rente le 15 novembre 2005. En dérogation à l'art. 24 LPGA, l'art. 48 al. 2 LAI en vigueur jusqu'au 31 décembre 2007 prévoyait que si l'assuré présente sa demande de rente plus de douze mois après la naissance du droit, les prestations ne sont allouées que pour les douze mois précédant le dépôt de la demande. En l'espèce, le Tribunal peut se limiter à examiner si la recourante avait droit à une rente le 15 novembre 2004, ou si le droit à une rente était né entre cette dernière date et le 21 décembre 2010, date de la décision attaquée marquant la limite dans le temps du pouvoir d'examen de l'autorité de recours (ATF 129 V 1 consid. 2.1 et ATF 121 V 362 consid. 1b).</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avoir versé des cotisations à l'AVS/AI suisse durant une année au moins (art. 36 LAI dans sa teneur en vigueur jusqu'au 31 décembre 2007). A compter du 1er janvier 2008, l'assuré doit toutefois compter au moins trois années de cotisations (art. 36 LAI dans sa nouvelle teneur selon la modification du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la recourante a versé des cotisations à l'AVS/AI pendant plus de trois ans, partant elle remplit la condition de la durée minimale de cotisations. Il reste dès lors à examiner si elle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6.3</w:t>
      </w:r>
    </w:p>
    <w:p>
      <w:r>
        <w:t>Conformément à l'art. 29 al. 1 LAI en vigueur jusqu'au 31 décembre 2007,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(cf. chiffre marginal 2020 de la Circulaire concernant l'invalidité et l'impotence dans sa version en vigueur jusqu'au 31 décembre 2007; Jurisprudence et pratique administrative des autorités d'exécution de l'AVS/AI [Pratique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7.1</w:t>
      </w:r>
    </w:p>
    <w:p>
      <w:r>
        <w:t>En l'espèce, l'intéressée a travaillé en Suisse comme femme de ménage jusqu'en 1997, voire 1998, et, retournée au Portugal, n'a plus travaillé.</w:t>
      </w:r>
    </w:p>
    <w:p>
      <w:r>
        <w:rPr>
          <w:b/>
        </w:rPr>
        <w:t>E. 7.2</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w:t>
      </w:r>
    </w:p>
    <w:p>
      <w:r>
        <w:rPr>
          <w:b/>
        </w:rPr>
        <w:t>E. 7.3</w:t>
      </w:r>
    </w:p>
    <w:p>
      <w:r>
        <w:t>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28a al. 2 LAI et 27 du règlement du 17 janvier 1961 sur l'assurance-invalidité [RAI, RS 831.201]) telles les tâches domestiques (méthode dite spécifique).</w:t>
      </w:r>
    </w:p>
    <w:p>
      <w:r>
        <w:rPr>
          <w:b/>
        </w:rPr>
        <w:t>E. 7.4</w:t>
      </w:r>
    </w:p>
    <w:p>
      <w:r>
        <w:t>Pour déterminer s'il y a lieu d'appliquer la méthode spécifique, on tient compte de l'évolution de la situation jusqu'au prononcé de la décision administrative en admettant que l'assuré n'aurait pas exercé d'activité lucrative lorsque cette éventualité présente un degré de vraisemblance prépondérante (Michel Valterio, Droit de l'assurance-vieillesse et survivants (AVS) et de l'assurance-invalidité (AI), Zurich 2011, n° 2150).</w:t>
      </w:r>
    </w:p>
    <w:p>
      <w:r>
        <w:rPr>
          <w:b/>
        </w:rPr>
        <w:t>E. 7.5</w:t>
      </w:r>
    </w:p>
    <w:p>
      <w:r>
        <w:t>La détermination du taux d'invalidité de l'assuré qui assume des tâches ménagères résulte généralement d'une enquête menée sur place (cf. art. 69 al. 2 RAI) par une personne qualifiée, laquelle constitue en principe une base appropriée et en règle générale suffisante pour apprécier et quantifier les limitations fonctionnelles (arrêt du Tribunal fédéral I 249/04 du 6 septembre 2004 consid. 5.1.1). L'appréciation des domaines partiels de la gestion du ménage intervient sur la base d'un tableau établi par l'Office fédéral des assurances sociales dont l'usage est obligatoire pour déterminer l'invalidité dans les tâches ménagères (Valtério, op. cit., n° 2165).</w:t>
      </w:r>
    </w:p>
    <w:p>
      <w:r>
        <w:rPr>
          <w:b/>
        </w:rPr>
        <w:t>E. 7.6</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Valterio, op. cit., n° 2909).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Tribunal fédéral 8C_558/2008 du 17 mars 2009 consid. 2.4.2). Toutefois le simple fait qu'un rapport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8.3</w:t>
      </w:r>
    </w:p>
    <w:p>
      <w:r>
        <w:t>Pour accomplir leurs tâches les offices AI sont tenus, au stade de la procédure administrative, de confier une expertise à un médecin indépendant lorsqu'elle se révèle nécessaire pour clarifier les aspects médicaux du cas (Valterio, op. cit., n° 2891). Il ne faut cependant recourir à une expertise que si des moyens plus simples et économiques ne suffisent pas à se prononcer (rapports médicaux, renseignements), ou encore en présence de controverses médicales sur le cas concret (Stéphane Blanc, La procédure administrative en assurance-invalidité, Fribourg, 1999, p. 142). La jurisprudence ne requiert pas qu'il faille toujours procéder à une expertise interdisciplinaire lorsqu'une personne souffre d'atteintes à sa santé physique et psychique (Valterio, op. cit., n° 2914). Plus pragmatiquement l'administration peut procéder à une appréciation anticipée des preuves pour juger de la non nécessité d'une expertise médicale si le dossier est complet (cf. ATF 135 V 2 consid. 1.3). À propos des expertises psychiatriques, il convient de préciser que, pour répondre aux exigences de la jurisprudence (ATF 122 V 157 et 125 V 351), une expertise de ce type doit en principe faire l'objet d'une étude fouillée se fondant sur des examens complets, prenant en considération les plaintes exprimées par la personne examinée, son mode de vie au quotidien, elle doit être établie en pleine connaissance des dossiers antérieurs, en particulier les conclusions de l'expert doivent être dûment motivées (cf. à ce sujet les lignes directrices de la Société suisse de psychiatrie d'assurance pour l'expertise médicale des troubles psychiques [Bulletin des médecins suisses 2004 p. 1905 ss] qui ont valeur de recommandation [Valterio, op. cit. n° 2918]).</w:t>
      </w:r>
    </w:p>
    <w:p>
      <w:r>
        <w:rPr>
          <w:b/>
        </w:rPr>
        <w:t>E. 9.1</w:t>
      </w:r>
    </w:p>
    <w:p>
      <w:r>
        <w:t>En l'espèce, suite au rapport médical du Dr E._______, médecin traitant de l'assurée et spécialiste en psychiatrie, daté du 12 mars 2009 (cf. supra E), l'OAIE, se fondant sur l'avis de son service médical ayant indiqué la nécessité d'un rapport psychiatrique, a proposé l'annulation de sa décision initiale du 20 août 2008 et le renvoi du dossier pour instruction complémentaire. Le Tribunal de céans admit en conséquence le recours, annula la décision attaquée et renvoya le dossier afin qu'il soit procédé au complément d'instruction conformément à la prise de position du service médical de l'intimé du 17 avril 2009 et rende ensuite une nouvelle décision.</w:t>
      </w:r>
    </w:p>
    <w:p>
      <w:r>
        <w:rPr>
          <w:b/>
        </w:rPr>
        <w:t>E. 9.2</w:t>
      </w:r>
    </w:p>
    <w:p>
      <w:r>
        <w:t>Dans le cadre de l'instruction complémentaire d'ordre psychiatrique, l'OAIE collecta un rapport médical du Dr E._______ daté du 13 janvier 2010 reprenant le texte du rapport du 12 mars 2009 relatant de plus une visite domiciliaire sur sollicitation du mari de l'intéressée constatant un status modifié, de l'irascibilité et hostilité envers le médecin, la négation de toute maladie et un refus de tout traitement. Il reçut également un rapport E 213 daté du 19 mars 2010 reprenant sur le plan psychiatrique les informations succinctes du rapport précédent avec l'énoncé du diagnostic de syndrome dépressif anxieux. Enfin, l'OAIE reçut encore du Dr E._______ un rapport du 15 octobre 2010 et un rapport du 27 octobre 2010 établis sur dossier sur la base de la visite domiciliaire du 13 janvier 2010. Il appert de ce qui précède que l'assurée n'a jamais fait l'objet d'un rapport psychiatrique complet établi sur la base de l'examen de la personne, de son anamnèse, de l'évolution de la maladie, de la médication suivie, de ses plaintes, de son mode de vie au quotidien, des manifestations de ses troubles d'ordre psychiatrique, de sa faculté à y faire face, de son intégration dans le cadre familial et social, de l'incidence de ses troubles psychiatriques dans ses activités quotidiennes, dans ses tâches domestiques. Certes le mari de l'intéressée a produit un ensemble d'informations sur son épouse, mais celles-ci émanant unilatéralement du mari ne sauraient remplacer une première collecte d'informations de l'intéressée-même sollicitées par un médecin psychiatre dans les règles de l'art. Par ailleurs, le Dr E._______ a été le médecin traitant de l'assurée de sorte que son avis, aussi nécessaire soit-il, ne saurait remplacer, dans le cas présent controversé, l'avis d'un tiers confrère sans lien thérapeutique avec l'intéressée influencé par le rapport de confiance qui lie généralement un patient à son médecin. En fait, le service médical de l'OAIE s'est prononcé sur la capacité de travail de l'intéressée dans ses tâches domestiques sur la seule base attestée de ses atteintes somatiques à la santé sans prendre en compte ses atteintes à la santé d'ordre psychiatrique sur une base matérielle établie par un rapport psychiatrique. Il s'ensuit que l'instruction est incomplète. La décision attaquée doit donc être annulée et la cause renvoyée à l'autorité inférieure en application de l'art. 61 PA afin qu'elle ordonne une expertise psychiatrique propre à permettre à son service médical de se prononcer en connaissance de cause sur les incidences des atteintes à la santé.</w:t>
      </w:r>
    </w:p>
    <w:p>
      <w:r>
        <w:rPr>
          <w:b/>
        </w:rPr>
        <w:t>E. 9.3</w:t>
      </w:r>
    </w:p>
    <w:p>
      <w:r>
        <w:t>Dans ses écritures la recourante requiert une expertise judiciaire. Une telle expertise, dont le but est de permettre au tribunal de se déterminer sur une nouvelle base médicale, cas échéant mettant l'accent sur certains aspects, eu égard à des expertises et rapports médicaux contradictoires de valeurs relativement égales dans le cadre d'une instruction complète, n'a pas lieu d'être ordonnée du fait que l'instruction n'est in casu pas complète (cf. ATF 137 V 210 consid. 4.4.1.4) et que dès lors une première expertise psychiatrique administrative s'impose.</w:t>
      </w:r>
    </w:p>
    <w:p>
      <w:r>
        <w:rPr>
          <w:b/>
        </w:rPr>
        <w:t>E. 10</w:t>
      </w:r>
    </w:p>
    <w:p>
      <w:r>
        <w:t>Vu ce qui précède le recours doit être partiellement admis, la décision attaquée annulée et la cause renvoyée à l'autorité inférieure afin qu'elle procède à un complément d'instruction, comme déjà indiqué dans l'arrêt de renvoi du Tribunal de céans du 18 mai 2009. En particulier elle requerra de l'expert qu'il se prononce sur l'évolution de l'atteinte à la santé depuis le 2 février 2005 et qu'il indique si celle-ci s'est éventuellement aggravée depuis cette date avec une incidence dans la capacité pour l'assurée d'effectuer ses tâches domestiques.</w:t>
      </w:r>
    </w:p>
    <w:p>
      <w:r>
        <w:rPr>
          <w:b/>
        </w:rPr>
        <w:t>E. 11.1</w:t>
      </w:r>
    </w:p>
    <w:p>
      <w:r>
        <w:t>La recourante ayant eu partiellement gain de cause dans le sens d'un renvoi de la cause à l'autorité inférieure (cf. ATF 132 V 215 consid. 6.2), il n'est pas perçu de frais de procédure (art. 63 PA). L'avance de frais de 400.- francs lui est remboursée.</w:t>
      </w:r>
    </w:p>
    <w:p>
      <w:r>
        <w:rPr>
          <w:b/>
        </w:rPr>
        <w:t>E. 11.2</w:t>
      </w:r>
    </w:p>
    <w:p>
      <w:r>
        <w:t>La recourante ayant agi en étant représentée, il lui est allouée une indemnité globale de dépens de 2'500.- francs à charge de l'autorité inférieure (art. 64 al. 1 PA et art. 7 ss du règlement du 21 février 2008 concernant les frais, dépens et indemnités fixés par le Tribunal administratif fédéral [FITAF, RS 173.320.2]), compte tenu de l'issue du recours, de la difficulté de la cause ainsi que du travail effectué par l'avocat.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