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C-6495/2012 vom 8. Oktober 2013</w:t>
      </w:r>
    </w:p>
    <w:p>
      <w:r>
        <w:t>Bundesverwaltungsgericht, 2013-10-08, DE</w:t>
      </w:r>
    </w:p>
    <w:p>
      <w:r>
        <w:rPr>
          <w:b/>
        </w:rPr>
        <w:t xml:space="preserve">Quelle: </w:t>
      </w:r>
      <w:r>
        <w:t>https://mcp.opencaselaw.ch/entscheid/bvger_C-6495_2012</w:t>
      </w:r>
    </w:p>
    <w:p>
      <w:r>
        <w:t>FR: TAF C-6495/2012 du 8 octobre 2013</w:t>
      </w:r>
    </w:p>
    <w:p>
      <w:r>
        <w:t>IT: TAF C-6495/2012 del 8 ottobre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Darunter fallen u.a. Entscheidungen des BFM, mit denen die Erteilung eines Schengen-Visums verweigert wird (vgl. Art. 32 f. VGG).</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 sind gemäss Art. 48 Abs. 1 VwVG zur Beschwerde legitimiert.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w:t>
      </w:r>
    </w:p>
    <w:p>
      <w:r>
        <w:t>Der angefochtenen Verfügung liegt das Gesuch eines dominikanischen Staatsangehörigen um Erteilung eines Visums für einen Aufenthalt in der Schweiz zugrunde. Da sich der Gesuchsteller nicht auf die EU/EFTA-Personenfreizügigkeitsabkommen berufen kann und die beabsichtigte Aufenthaltsdauer drei Monate nicht überschreitet, fällt die Streitsache in den Anwendungsbereich der Schengen-Assoziierungs­abkommen, mit denen die Schweiz den Schengen-Besitzstand und die dazugehörigen gemeinschaftsrechtlichen Rechts­akte übernommen hat. Das Schengen-Recht geht dem Ausländergesetz vom 16. Dezember 2005 (AuG, SR 142.20) und seinen Ausführungsverordnungen vor (vgl. Art. 2 AuG).</w:t>
      </w:r>
    </w:p>
    <w:p>
      <w:r>
        <w:rPr>
          <w:b/>
        </w:rPr>
        <w:t>E. 4.1</w:t>
      </w:r>
    </w:p>
    <w:p>
      <w:r>
        <w:t>Das schweizerische Ausländerrecht kennt kein allgemeines Recht auf Einreise und gewährt keinen Anspruch auf Ertei­lung eines Visums. Die Schweiz ist - wie andere Staaten auch - grundsätzlich nicht gehalten, Ausländerinnen und Ausländern die Ein­reise zu gestatten. Vorbehältlich völkerrechtlicher Verpflichtungen handelt es sich dabei um einen autonomen Entscheid. Das Schengen-Recht schränkt diese Befugnis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2011/48 E. 4.1 mit Hinweisen).</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und Art. 4 der Ver­ordnung vom 22. Oktober 2008 über die Einreise und die Visumertei­lung [VEV, SR 142.204] i.V.m. Art. 5 Abs. 1 Bst. a und b Schengener Grenzkodex [SGK, ABl. L 105 vom 13.04.2006, S. 1-32]).</w:t>
      </w:r>
    </w:p>
    <w:p>
      <w:r>
        <w:rPr>
          <w:b/>
        </w:rPr>
        <w:t>E. 4.3</w:t>
      </w:r>
    </w:p>
    <w:p>
      <w:r>
        <w:t>Drittstaatsangehörige müssen den Zweck und die Um­stände ihres beabsichtigten Aufenthalts belegen und hierfür über ausrei­chende finanzielle Mittel verfügen (Art. 5 Abs. 1 Bst. b AuG, Art. 2 Abs. 1 VEV, Art. 5 Abs. 1 Bst. c und Abs. 3 SGK sowie Art. 14 Abs. 1 Bst. a-c Visakodex [Abl. L 243 vom 15. September 2009]). Namentlich haben sie zu belegen, dass sie den Schengen-Raum vor Ablauf des bewilligungsfreien Aufenthaltes verlassen, bzw. ausreichende Gewähr für eine fristgerechte Wiederausreise zu bieten (Art. 14 Abs. 1 Bst. d und Art. 21 Abs. 1 Visakodex sowie Art. 5 Abs. 2 AuG). Zudem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und Art. 5 Abs. 1 Bst. d und e SGK). Eine Gefahr für die öffentliche Ordnung ist auch dann anzunehmen, wenn die drittstaatsangehörige Person nicht bereit ist, das Hoheitsgebiet des Schengen-Raums fristge­recht wieder zu verlassen.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steht mit dieser Regelung im Einklang (vgl. BVGE 2011/48 E. 4.5 mit Hinweisen).</w:t>
      </w:r>
    </w:p>
    <w:p>
      <w:r>
        <w:rPr>
          <w:b/>
        </w:rPr>
        <w:t>E. 4.4</w:t>
      </w:r>
    </w:p>
    <w:p>
      <w:r>
        <w:t>Sind die erwähnten Einreisevoraussetzungen (Visum ausgenom­men) nicht erfüllt, darf kein Schengen-Visum erteilt werden (vgl. Art. 12 VEV, Art. 2 Ziff. 3 Visakodex). Hält es jedoch ein Mitgliedstaat aus humanitären Grün­den, aus Gründen des nationalen Interesses oder aufgrund internatio­naler Verpflichtungen für erforderlich, so ist er berechtigt, der dritt­staatsangehörigen Person ausnahmsweise ein «Visum mit räumlich beschränk­ter Gültigkeit» zu erteilen (Art. 2 Ziff. 4 Visakodex). Die­ses Visum ist grundsätzlich nur für das Hoheitsgebiet des ausstellen­den Staates gültig (vgl. Art. 32 i.V.m. Art. 25 Abs. 1 Bst. a Visakodex).</w:t>
      </w:r>
    </w:p>
    <w:p>
      <w:r>
        <w:rPr>
          <w:b/>
        </w:rPr>
        <w:t>E. 5.1</w:t>
      </w:r>
    </w:p>
    <w:p>
      <w:r>
        <w:t>Der Gesuchsteller unterliegt als dominikanischer Staatsangehöriger der Vi­sumspflicht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Einzelfalles zu würdigen. Anhaltspunkte zur Beurteilung der Gewähr für eine fristgerechte Wiederausreise können sich auch aus der allgemeinen Situation im Herkunftsland der Besucherin oder des Besuchers ergeben. Namentlich bei Einreisegesuchen von Personen aus Staaten bzw. Regionen mit politisch oder wirtschaftlich ungünstigen Verhält­nissen rechtfertigt sich eine strenge Praxis, da die persön­liche Interessenlage in solchen Fällen häufig nicht mit dem Ziel und Zweck einer zeitlich befristeten Einreisebewilligung in Einklang steht (vgl. Urteil des Bundesverwaltungsgerichts C-5193/2012 vom 6. September 2013 E. 5.1 mit Hinweisen).</w:t>
      </w:r>
    </w:p>
    <w:p>
      <w:r>
        <w:rPr>
          <w:b/>
        </w:rPr>
        <w:t>E. 5.2</w:t>
      </w:r>
    </w:p>
    <w:p>
      <w:r>
        <w:t>In der Dominikanischen Republik sind breite Bevölkerungsschichten von vergleichsweise schwierigen Lebensbedingungen betroffen. Zwar zeichnet sich die dortige Wirtschaft seit über zehn Jahren durch solide jährliche Wachstumsraten aus. Seit dem Jahr 2011 geht das Wachstum zurück und lag im Jahr 2012 bei rund 4 Prozent, was allerdings - regional gesehen - weiterhin ein Spitzenplatz ist. Der «Human Development Index» des Entwicklungsprogramms der Vereinten Nationen (UNDP) stufte die Dominikanische Republik im Jahr 2012 auf Position 96 von 187 Ländern ein. Der neue Präsident Danilo Medina verfolgt einen Wirtschaftswachstumskurs mit staatlicher Austeritätspolitik und stärkerem Akzent auf Sozial- und Bildungspolitik. Die Einkommensverteilung ist jedoch zunehmend ungleich, was in Verbindung mit der ab 1. Januar 2013 eingeführten Steuerreform derzeit zu stark steigenden Preisen für Grundversorgungsgüter und zu einem Anstieg sozialer Proteste führt. Die Arbeitslosenquote beträgt sodann nach wie vor rund 15 Prozent und zeugt von strukturellen Schwächen der dominikanischen Wirtschaft (vgl. Urteil des Bundesverwaltungsgerichts C-3744/2012 vom 25. Februar 2013 E. 6.1 sowie im Internet: www.auswaertiges-amt.de Reise &amp; Sicherheit Reise- und Sicherheitshinweise: Länder A-Z Dominikanische Republik Wirtschaft, Stand Februar 2013; www.cia.gov Library The World Factbook Dominican Republic, Stand 22. August 2013; www.hdr.undp.org Countries Dominican Republic; alle Webseiten besucht im September 2013). Vor dem aufgezeigten wirtschaftlichen Hintergrund ist - vor allem bei der jüngeren Bevölkerung - nach wie vor ein starker Migrationsdruck festzustellen. Vor allem Nordamerika und Europa gelten als Wunschdestinationen von Menschen im erwerbsfähigen Alter, die auf ein in wirtschaftlicher Hinsicht besseres Leben hoffen (vgl. Urteil des Bundesverwaltungsgerichts C-4764/2012 vom 19. März 2013 E. 5.3).</w:t>
      </w:r>
    </w:p>
    <w:p>
      <w:r>
        <w:rPr>
          <w:b/>
        </w:rPr>
        <w:t>E. 5.3</w:t>
      </w:r>
    </w:p>
    <w:p>
      <w:r>
        <w:t>Angesichts der wirtschaftlich schwierigen Lage im Herkunftsland des Gesuch­stellers ist grundsätzlich nicht zu beanstanden, dass die Vorinstanz das Risiko einer nicht fristgerechten Wiederausreise allgemein als hoch einschätzte. Dieses Risiko ist erfahrungsge­mäss noch erhöht, wenn - wie im vorliegenden Fall - durch die Anwesenheit von Verwandten oder Freunden bereits ein soziales Beziehungsnetz besteht. Angesichts der restriktiven Zulassungsregelung werden dabei nicht selten ausländerrechtliche Bestimmungen umgangen, indem versucht wird, den Aufenthalt - einmal eingereist - auf eine andere Basis zu stellen und sich so der Pflicht zur Wiederausreise zu ent­ziehen. Bei der Risikoanalyse sind jedoch nicht nur diese allgemeinen Umstände und Erfahrungen, sondern sämtliche Gesichts­punkte des konkreten Einzelfalles zu berücksichtigen. Obliegt einem Gesuchsteller im Heimatland z.B.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(vgl. Urteile des Bundesverwaltungsgerichts C-2526/2012 vom 23. August 2013 E. 7.3 sowie C-2785/2012 vom 17. Juli 2013 E. 6.3 f.).</w:t>
      </w:r>
    </w:p>
    <w:p>
      <w:r>
        <w:rPr>
          <w:b/>
        </w:rPr>
        <w:t>E. 5.3.1</w:t>
      </w:r>
    </w:p>
    <w:p>
      <w:r>
        <w:t>Der Gesuchsteller ist 28 Jahre alt, Vater eines 5-jährigen Kindes (vgl. BFM act. 5 S. 25) und lebt gemäss unbestrittener eigener Sachdarstellung gemeinsam mit diesem und seiner Partnerin in Santo Domingo. Seit dem Jahr 2009 arbeitet er als Automonteur in einer Autogarage in Santo Domingo und verdient dort monatlich 20'000 dominikanische Pesos (DOP), was umgerechnet einem Betrag von rund Fr. 435.- entspricht (vgl. im Internet: www.finanzen.ch Devisen Währungsrechner, besucht am 18. September 2013, sowie BFM act. 5 S. 13). Beim Gesuchsteller handelt es sich um den Zwillingsbruder der Beschwerdeführerin, die seit dem Jahr 2010 gemeinsam mit dem Beschwerdeführer resp. ihrem Schweizer Ehemann - mithin dem Schwager des Gesuchstellers - in der Schweiz lebt (vgl. BFM act. 5 S. 7 u. S. 11 f. sowie act. 7 S. 31 f.).</w:t>
      </w:r>
    </w:p>
    <w:p>
      <w:r>
        <w:rPr>
          <w:b/>
        </w:rPr>
        <w:t>E. 5.3.2</w:t>
      </w:r>
    </w:p>
    <w:p>
      <w:r>
        <w:t>Die Vorinstanz stellte zwar diese beruflichen und familiären Verhältnisse fest, führte aber aus, es bestünden keine zwingenden Verantwortlichkeiten, die den Gesuchsteller davon abhalten könnten, den Entschluss für eine Emigration zu fällen. Auch die wirtschaftlichen Verhältnisse böten keine besondere Gewähr für eine fristgerechte Wiederausreise. Wohl sei dem Gesuchsteller in beruflicher Hinsicht eine Verwurzelung zu attestieren. Sein Monatssalär liege im Mittel für dominikanische Verhältnisse. Dieser Umstand sei jedoch zu relativieren, zeige doch die Erfahrung, dass selbst ein für dominikanische Verhältnisse gutes Salär nicht nachhaltig davon abhalten könne, das Heimatland dauerhaft zu verlassen. Weiter stelle sich die Frage, wie der Gast die Flugreise finanzieren könne. Es bestünden keine hinreichenden Gründe für eine fristgerechte Wiederausreise nach einem Besuchsaufenthalt.</w:t>
      </w:r>
    </w:p>
    <w:p>
      <w:r>
        <w:rPr>
          <w:b/>
        </w:rPr>
        <w:t>E. 5.3.3</w:t>
      </w:r>
    </w:p>
    <w:p>
      <w:r>
        <w:t>Der Gesuchsteller ist in der dominikanischen Republik, wo er mit seiner Partnerin und dem gemeinsamen Kind lebt, familiär verwurzelt. In beruflicher Hinsicht wird belegt, dass er seit dem Jahr 2009 in einer festen Anstellung als Automonteur arbeitet. Diese nachgewiesenen familiären und beruflichen Verpflichtungen wurden von der Vorinstanz ausdrücklich anerkannt und fallen bei der vorzunehmenden Risikoanalyse zu Gunsten des Gesuchstellers ins Gewicht. Ebenfalls zu berücksichtigen ist, dass die Beschwerdeführer in glaubhafter Weise darlegen, dass der Gesuchsteller in der Schweiz seine hier lebende Zwillingsschwester und seinen Schwager besuchen resp. bei diesen Ferien verbringen möchte. Der Gesuchsteller hat denn auch lediglich ein Visum für einen zwanzigtägigen Besuchsaufenthalt in der Schweiz beantragt (vgl. BFM act. 5 S. 21 ff); auf diese Angabe ist abzustellen, auch wenn die Beschwerdeführer im Widerspruch hierzu wiederholt einen dreimonatigen resp. maximal dreimonatigen Besuchsaufenthalt erwähnt haben (vgl. BFM act. 1 sowie act. 7 S. 34). Betreffend die von der Vorinstanz aufgeworfene Frage, wie der Gesuchsteller die teure Flugreise finanzieren könne, bringen die Beschwerdeführer vor, dass dieser ihnen den Betrag zur Begleichung der Reisekosten bereits habe zukommen lassen. Es besteht kein Anlass, an dieser Sachdarstellung zu zweifeln, zumal der Gesuchsteller seine wirtschaftlichen Verhältnisse offengelegt hat (vgl. BFM act. 5 S. 13 f.) und diese - bei entsprechenden Sparbemühungen - nach Einschätzung des Bundesverwaltungsgerichts die Finanzierung der Flugreise zulassen. Im Übrigen würde es den Ausgang der hier vorzunehmenden Risikoanalyse nicht entscheidend beeinflussen, wenn der Gast auch für die Kosten der Flugreise von den Gastgebern eingeladen würde (zur Frage der hinreichenden Mittel s. hinten, E. 5.3.5).</w:t>
      </w:r>
    </w:p>
    <w:p>
      <w:r>
        <w:rPr>
          <w:b/>
        </w:rPr>
        <w:t>E. 5.3.4</w:t>
      </w:r>
    </w:p>
    <w:p>
      <w:r>
        <w:t>Die Vorinstanz verweist darauf, dass die Schweizerische Botschaft in Santo Domingo, welche sich ein Bild des Eingeladenen machen könne, Bedenken bezüglich der anstandslosen Wiederausreise geäussert habe (vgl. Sachverhalt Bst. D sowie BFM act. 5 S. 25). Betreffend diese Bedenken der Botschaft ist festzuhalten, dass aufgrund der vorliegenden Akten klar erstellt ist, dass es sich bei der Gastgeberin um die Zwillingsschwester des Gesuchstellers handelt (vgl. BFM act. 5 S. 12 u. S. 15), und dass auch die beruflichen Verpflichtungen nachgewiesen wurden (vgl. BFM act. 5 S. 13). Dass der Gesuchsteller jung und unverheiratet ist, trifft zu, ändert aber nichts daran, dass er familiäre Verpflichtungen betreffend sein Kind und seine Partnerin hat. Dass auf den beiden Einladungsschreiben der Gastgeber vom 5. Dezember 2011 und vom 10. Juli 2012 (vgl. BFM act. 5 S. 17 f.) unterschiedliche Unterschriften der Gastgeberin vorhanden sind, ist auch dem Bundesverwaltungsgericht aufgefallen (vgl. zudem die nochmals differierenden Unterschriften der Gastgeberin auf der Beschwerdeschrift vom 12. Dezember 2012 und der Eingabe vom 13. September 2013). Dies ist tatsächlich ungewöhnlich, kann jedoch verschiedene Ursachen haben. Allenfalls experimentiert die Beschwerdeführerin mit ihrer Unterschrift, oder - dies erscheint wahrscheinlicher - der Ehemann zeichnete in ehelicher Vertretung auch unter ihrem Namen. Letzteres erscheint zwar nicht sehr zeitgemäss, ist aber unter gewissen Voraussetzungen zulässig (vgl. Markus Boog, in: Niggli/Wiprächtiger [Hrsg.], Kommentar Strafrecht II, Art. 111-392 StGB, 3. Aufl., Basel 2013, Art. 251 N 21 ff.). Dies ist hier jedoch nicht weiter zu prüfen, zumal keine Täuschungsabsicht ersichtlich ist und keine Zweifel daran bestehen, dass beide Gastgeber den Gesuchsteller in die Schweiz einladen resp. Rechtsmittel gegen den negativen Visumsentscheid ergreifen wollten.</w:t>
      </w:r>
    </w:p>
    <w:p>
      <w:r>
        <w:rPr>
          <w:b/>
        </w:rPr>
        <w:t>E. 5.3.5</w:t>
      </w:r>
    </w:p>
    <w:p>
      <w:r>
        <w:t>Die Vorinstanz verweist sodann auf die Stellungnahme des kantonalen Migrationsamts, welches die Verweigerung des Besuchervisums beantragte und - neben länderspezifischen Bedenken - darauf hinwies, die Gastgeber hätten trotz ausdrücklicher Aufforderung keine schriftliche Ausreiseverpflichtung eingereicht (vgl. Sachverhalt Bst. D sowie BFM act. 7 S. 35). Diesbezüglich ist festzuhalten, dass die Gastgeber die in den Art. 6 Abs. 3 AuG und Art. 7 ff. VEV vorgesehene Verpflichtungserklärung aufforderungsgemäss ausgefüllt, unterzeichnet und eingereicht haben (vgl. BFM act. 7 S. 29 f.). Damit haben sie sich den Behörden gegenüber verpflichtet, während der Anwesenheit des Gesuchstellers für dessen Lebensunterhalt bis zum Betrag von Fr. 30'000.- aufzukommen; darin eingeschlossen sind auch die von der Krankenversicherung nicht gedeckten Kosten für Krankheit und Unfall sowie die Kosten für eine allfällige Rückschaffung (vgl. Art. 8 Abs. 1 VEV). Die aufgrund unvollständiger Inlandabklärungen (vgl. BE act. 23 f. sowie BFM act. 7 S. 34) notwendig gewordenen ergänzenden Sachverhaltsabklärungen des Bundesverwaltungsgerichts haben ergeben, dass diese Garantieverpflichtung notfalls auch durchsetzbar wäre (vgl. die Eingabe der Beschwerdeführer vom 13. September 2013 samt Beilagen). Festzuhalten ist sodann, dass die Beschwerdeführer in verschiedenen Verfahrensstadien und in glaubhafter Weise betonten, dass der einzige Zweck der geplanten Reise ein Familienbesuch sei. Eine weitere, formelle Verpflichtungserklärung der Gastgeber explizit betreffend die fristgerechte Wiederausreise des Gasts (zusätzlich zur Garantieerklärung gemäss gemäss Art. 6 Abs. 3 AuG i.V.m. Art. 7 ff. VEV) ist im Gesetz nicht vorgesehen. Ohnehin können Gastgeber für ein bestimmtes Tun oder Unterlassen des Gastes nicht rechtswirksam einstehen (vgl. BVGE 2009/27 E. 9).</w:t>
      </w:r>
    </w:p>
    <w:p>
      <w:r>
        <w:rPr>
          <w:b/>
        </w:rPr>
        <w:t>E. 5.4</w:t>
      </w:r>
    </w:p>
    <w:p>
      <w:r>
        <w:t>Zusammenfassend ist festzuhalten, dass der Zweck des geplanten Aufenthalts (Besuch der in der Schweiz lebenden Zwillingsschwester und deren Familie) glaubhaft gemacht wurde und der Gast aufgrund seiner familiären und beruflichen Verpflichtungen im Heimatland hinreichend Gewähr für eine fristgerechte Wiederausreise bietet.</w:t>
      </w:r>
    </w:p>
    <w:p>
      <w:r>
        <w:rPr>
          <w:b/>
        </w:rPr>
        <w:t>E. 6</w:t>
      </w:r>
    </w:p>
    <w:p>
      <w:r>
        <w:t>Insgesamt ist nach dem Gesagten davon auszugehen, dass die Wiederausreise des Gesuchstellers trotz der allgemeinen Lage in der Dominikanischen Republik als hinreichend gesichert anzusehen ist. Indem die Vorinstanz den rechtserheblichen Sachverhalt wesentlich anders beurteilt hat, hat sie Bundesrecht verletzt (vgl. Art. 49 Bst. a VwVG). Die Beschwerde ist demnach gutzuheissen und die Sache zur neuerlichen Beurteilung an die Vorinstanz zurückzuweisen. Dieser bleibt zu prüfen, ob die übrigen Einreisevoraussetzungen (noch) erfüllt sind (s. vorne, E. 4.2 f.) oder ob allenfalls aus humanitären Gründen ein Visum mit räumlich beschränkter Gültigkeit zu erteilen ist (s. vorne, E. 4.4).</w:t>
      </w:r>
    </w:p>
    <w:p>
      <w:r>
        <w:rPr>
          <w:b/>
        </w:rPr>
        <w:t>E. 7</w:t>
      </w:r>
    </w:p>
    <w:p>
      <w:r>
        <w:t>Bei diesem Ausgang des Verfahrens sind keine Kosten aufzuerlegen (vgl. Art. 63 Abs. 1 und Abs. 2 VwVG) und der geleistete Kostenvorschuss ist zurückzuerstatten. Eine Parteientschädigung ist nicht auszurichten, da den nicht vertretenen Beschwerdeführern durch das vorliegende Verfahren keine notwendigen und verhältnismässig hohen Kosten im Sinne von Art. 64 Abs. 1 VwVG entstanden sind.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