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C-6493/2007 vom 9. Juni 2008</w:t>
      </w:r>
    </w:p>
    <w:p>
      <w:r>
        <w:t>Bundesverwaltungsgericht, 2008-06-09, DE</w:t>
      </w:r>
    </w:p>
    <w:p>
      <w:r>
        <w:rPr>
          <w:b/>
        </w:rPr>
        <w:t xml:space="preserve">Quelle: </w:t>
      </w:r>
      <w:r>
        <w:t>https://mcp.opencaselaw.ch/entscheid/bvger_C-6493_2007</w:t>
      </w:r>
    </w:p>
    <w:p>
      <w:r>
        <w:t>FR: TAF C-6493/2007 du 9 juin 2008</w:t>
      </w:r>
    </w:p>
    <w:p>
      <w:r>
        <w:t>IT: TAF C-6493/2007 del 9 giugno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Gemäss Artikel 37 VGG richtet sich das Verfahren vor dem Bundesverwaltungsgericht nach dem Bundesgesetz über das Verwaltungsverfahren vom 20. Dezember 1968 (VwVG, SR 172.021), sofern dieses Gesetz nichts anderes bestimmt. Das Urteil ist endgültig (Art. 1 Abs. 2 VGG i.V.m. Art. 83 Bst. c Ziff. 1 des Bundesgerichtsgesetzes vom 17. Juni 2005 [BGG, SR 173.110]).</w:t>
      </w:r>
    </w:p>
    <w:p>
      <w:r>
        <w:rPr>
          <w:b/>
        </w:rPr>
        <w:t>E. 1.3</w:t>
      </w:r>
    </w:p>
    <w:p>
      <w:r>
        <w:t>Die Beschwerdeführer sind gemäss Art. 48 VwVG zur Beschwerde legitimiert; auf die frist- und formgerecht eingereichte Beschwerde ist einzutreten (Art. 49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 Urteils 2A.451/2002 vom 28. März 2003).</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Gesuchstellerin und ihre Kinder benötigen aufgrund ihrer Nationalität zur Einreise in die Schweiz nebst dem Pass ein Visum. Die Vorinstanz verweigerte die Erteilung eines solchen Visums mit der Begründung, die anstandslose und fristgerechte Wiederausreise erscheine nicht als hinreichend gesichert.</w:t>
      </w:r>
    </w:p>
    <w:p>
      <w:r>
        <w:rPr>
          <w:b/>
        </w:rPr>
        <w:t>E. 4.2</w:t>
      </w:r>
    </w:p>
    <w:p>
      <w:r>
        <w:t>Wenn es zu beurteilen gilt, ob das Kriterium der gesicherten Wiederausreise erfüllt ist, muss ein zukünftiges Verhalten beurteilt werden. Dazu lassen sich in der Regel keine Feststellungen, sondern lediglich Prognosen treffen.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Gesuchstellerin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Trotz grosser internationaler Unterstützung ist es aber bisher nicht gelungen, eine Wachstumsdynamik einzuleiten; es herrscht wirtschaftliche Stagnation und die Arbeitslosigkeit bleibt hartnäckig hoch. So sind mehr als die Hälfte der Erwerbsfähigen ohne oder zumindest ohne regelmässiges Einkommen. Die Reduktion der Arbeitslosigkeit und die Erhöhung des allgemeinen Lebensstandards haben zwar für die UNMIK hohe Priorität, doch in Anbetracht dessen, dass von den Experten für die Zukunft ein massiver Rückgang bei den Hilfsgeldern erwartet wird, sind auch die wirtschaftlichen Perspektiven zumindest mittelfristig schlecht. Gemäss World Bank Brief lag der Armutsanteil der Bevölkerung im Kosovo im Jahr 2005 bereits bei 37% (mit steigender Tendenz). Entsprechend hoch ist der Anteil jener, die versuchen, ins Ausland zu gelangen, um sich unter günstigeren Lebensbedingungen eine bessere Existenz sichern zu können. Laut der "International Organization for Migration" (IOM) sollen in einer zu Beginn des Jahres 2003 durchgeführten Umfrage über 50% der Befragten angegeben haben, sie würden lieber im Ausland leben und arbeiten. Auch die jüngst erfolgte Unabhängigkeitserklärung des Kosovo dürfte die Ursachen für das hohe Migrationsaufkommen der Vergangenheit nicht beseitigen. Unter den Auswanderungswilligen gilt vor allem Westeuropa und damit auch die Schweiz als Wunschdestination. Der Trend zeigt sich erfahrungsgemäss dort besonders stark, wo durch die Anwesenheit von Verwandten oder Freunden bereits ein minimales soziales Beziehungsnetz im Ausland besteht. Im Falle der Schweiz führt dies angesichts der restriktiven Zulassungsregelung nicht selten zur Umgehung ausländerrechtlicher Bestimmungen.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Bei der Gesuchstellerin handelt es sich um eine 28-jährige verheiratete Frau mit zwei Kindern (7 und 4 Jahre alt). Ihr Ehemann soll ein Lebensmittelgeschäft führen und daneben noch für eine Autopneufirma tätig sein. Gemäss eingereichtem Arbeitsvertrag verdient die Gesuchstellerin als Büroangestellte 150 Euro im Monat. Diesbezüglich obliegt ihr im Heimatland tatsächlich eine gewisse familiäre und berufliche Verantwortung. Andererseits ist bzw. war ihre Anstellung - wie sich aus dem Arbeitsvertrag vom 1. Februar 2007 ergibt - bis Ende 2007 befristet. Da die Einkünfte ihres Ehemannes nicht ausgewiesen sind, ist auch das Argument der Beschwerdeführer, dass die Gesuchstellerin in einer wohlhabenden Familie lebe, fraglich bzw. zu relativieren. In Anbetracht feststellbarer Differenzen betreffend Lebensqualität, soziale Absicherung und Lohnniveau können nämlich selbst ein eigenes Geschäft oder eine Arbeitsstelle im Heimatland nicht verlässlich vom Entschluss abhalten, aus dem Land zu emigrieren, ebensowenig zurückbleibende Familienangehörige. Die Eltern der Gesuchstellerin und ihre drei Brüder haben bereits ein Bleiberecht in der Schweiz. Wie sich aus den begezogenen Asylakten ergibt, erfolgte der seinerzeitige Rückzug des Asylgesuchs und die darauf folgende "freiwillige" Ausreise Ende 2000 erst, nachdem die Gesuchstellerin die Aussichtslosigkeit ihres Asylgesuches eingesehen hatte (vgl. die Aufforderung des damaligen Bundesamts für Flüchtlinge vom 14. November 2000 zur Stellungnahme betreffend das soziale Beziehungsnetz im Kosovo). Der eigentliche Grund ihers damaligen Asylgesuches war eindeutig ein Nachzug zu ihren in der Schweiz lebenden Eltern und Geschwistern.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vor Ort gut vertraut ist und sich somit durchaus ein Bild der Einreisewilligen machen kann, grosse Bedenken bezüglich der anstandslosen Wiederausreise.</w:t>
      </w:r>
    </w:p>
    <w:p>
      <w:r>
        <w:rPr>
          <w:b/>
        </w:rPr>
        <w:t>E. 5.3</w:t>
      </w:r>
    </w:p>
    <w:p>
      <w:r>
        <w:t>Nach dem Gesagten durfte die Vorinstanz daher zu Recht davon ausgehen, die Wiederausreise der Gesuchstellerin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die Beschwerdeführer für die rechtzeitige Rückreise ihrer Tochter und deren Kinder garantieren. Ihre Integrität als Gastgeber wird dabei in keiner Art und Weise in Zweifel gezogen. Indessen sind bei der Abwägung des Risikos einer nicht fristgerechten Wiederausreise nicht so sehr die Einstellung des Gastgebers, sondern in erster Linie das mögliche Verhalten des Gastes selbst von Bedeutung. Nur Letzterer ist in der Lage, hinreichend Gewähr für eine fristgerechte Wiederausreise zu bieten. Der Gastgeber kann zwar für gewisse finanzielle Risiken Garantie leisten, nicht aber - mangels rechtlicher und faktischer Durchsetzbarkeit - für ein bestimmtes Verhalten des Gastes (vgl. Urteil des Bundesverwaltungsgerichts C-2101/2006 vom 24. April 2008 E. 5.3).</w:t>
      </w:r>
    </w:p>
    <w:p>
      <w:r>
        <w:rPr>
          <w:b/>
        </w:rPr>
        <w:t>E. 5.4</w:t>
      </w:r>
    </w:p>
    <w:p>
      <w:r>
        <w:t>Die Beschwerdeführer bringen schliesslich vor, wegen ihrer schulischen und beruflichen Verpflichtungen könnten sie kaum alle zusammen in den Kosovo fliegen. Dem ist entgegenzuhalten, dass einerseits keine technischen Hindernisse (z.B. fehlende Papiere) bestehen bzw. geltend gemacht werden, dass die Verweigerung der Einreise den Kontakt zwischen den Beschwerdeführern und der Gesuchstellerin im Heimatland verunmöglichen würde. Andererseits wird nicht näher ausgeführt, warum es ihnen nicht möglich sein sollte, beispielsweise während der Schulferien ihrer Kinder gemeinsam in den Kosovo zu reisen, um den persönlichen Kontakt zu ihrer Tochter und deren Kinder zu pflegen.</w:t>
      </w:r>
    </w:p>
    <w:p>
      <w:r>
        <w:rPr>
          <w:b/>
        </w:rPr>
        <w:t>E. 6</w:t>
      </w:r>
    </w:p>
    <w:p>
      <w:r>
        <w:t>Aus den dargelegten Gründen ist somit nicht zu beanstanden, dass die Vorinstanz das öffentliche Interesse sowie die Beachtung der geltenden Bestimmungen entsprechend gewichtete und der Eingeladenen und deren Kinder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sind den Beschwerdeführern die Kosten aufzuerlegen (Art. 63 Abs. 1 VwVG). Diese sind auf Fr. 600.- festzusetzen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