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C-6491/2023 vom 15. November 2023</w:t>
      </w:r>
    </w:p>
    <w:p>
      <w:r>
        <w:t>Bundesverwaltungsgericht, 2023-11-15, DE</w:t>
      </w:r>
    </w:p>
    <w:p>
      <w:r>
        <w:rPr>
          <w:b/>
        </w:rPr>
        <w:t xml:space="preserve">Quelle: </w:t>
      </w:r>
      <w:r>
        <w:t>https://mcp.opencaselaw.ch/entscheid/bvger_C-6491_2023_d20231115</w:t>
      </w:r>
    </w:p>
    <w:p>
      <w:r>
        <w:t>FR: TAF C-6491/2023 du 15 novembre 2023</w:t>
      </w:r>
    </w:p>
    <w:p>
      <w:r>
        <w:t>IT: TAF C-6491/2023 del 15 novembre 2023</w:t>
      </w:r>
    </w:p>
    <w:p>
      <w:pPr>
        <w:pStyle w:val="Heading2"/>
      </w:pPr>
      <w:r>
        <w:t>Regeste</w:t>
      </w:r>
    </w:p>
    <w:p>
      <w:r>
        <w:t>Rente | Alters- und Hinterlassenenversicherung, Berechnung Altersrente (Einspracheentscheid vom 15. November 2023)</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t>C-6491/2023 Seite 5</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i.V.m. Art. 39 Abs. 2 ATSG, Art. 52 Abs. 1 VwVG) eingereicht wurde, ist darauf einzutreten.</w:t>
      </w:r>
    </w:p>
    <w:p>
      <w:r>
        <w:rPr>
          <w:b/>
        </w:rPr>
        <w:t>E. 2.1</w:t>
      </w:r>
    </w:p>
    <w:p>
      <w:r>
        <w:t>Der Beschwerdeführer ist Schweizer Staatsbürger. Aufgrund seines Wohnsitzes in Frankreich besteht in räumlicher Hinsicht ein internationaler Sachverhalt mit Bezug zur EU, weshalb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BGE 130 V 51; vgl. Urteil des BVGer C-2706/2011 vom 26. Oktober 2011 E. 2.3).</w:t>
      </w:r>
    </w:p>
    <w:p>
      <w:r>
        <w:rPr>
          <w:b/>
        </w:rPr>
        <w:t>E. 2.2</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Der Beschwerdeführer hat am (…) August 2021 das Referenzalter für eine AHV-Altersrente von 65 Jahren erreicht (vgl. Art. 21 AHVG). Massgebend sind somit grundsätzlich diejenigen Normen, welche zu diesem Zeitpunkt in Kraft standen (vgl. BGE 140 V 154 E. 7.1; 130 V 156 E. 5.2; BGE 117 V 121 E. 3 und E. 4.8).</w:t>
      </w:r>
    </w:p>
    <w:p>
      <w:r>
        <w:rPr>
          <w:b/>
        </w:rPr>
        <w:t>E. 3</w:t>
      </w:r>
    </w:p>
    <w:p>
      <w:r>
        <w:t>Angefochten ist vorliegend der Einspracheentscheid der Vorinstanz vom 15. November 2023, mit welchem die Einsprache des Beschwerdeführers</w:t>
      </w:r>
    </w:p>
    <w:p>
      <w:r>
        <w:t>C-6491/2023 Seite 6 vom 28. Dezember 2022 gegen die AHV-Rentenverfügung vom 12. De- zember 2022 abgewiesen wurde.</w:t>
      </w:r>
    </w:p>
    <w:p>
      <w:r>
        <w:rPr>
          <w:b/>
        </w:rPr>
        <w:t>E. 4.1</w:t>
      </w:r>
    </w:p>
    <w:p>
      <w:r>
        <w:t>Männer haben Anspruch auf eine ordentliche Altersrente, sofern sie das 65. Altersjahr vollendet haben und ihnen für mindestens ein volles Jahr Einkommen, Erziehungs- oder Betreuungsgutschriften angerechnet wer- den können (Art. 21 Abs. 1 Bst. a i.V.m. Art. 29 Abs. 1 AHVG). Der Anspruch auf die Altersrente entsteht am ersten Tag des Monats, welcher der Vollen- dung des massgebenden Altersjahres folgt, und erlischt mit dem Tod (Art. 21 Abs. 2 AHVG).</w:t>
      </w:r>
    </w:p>
    <w:p>
      <w:r>
        <w:rPr>
          <w:b/>
        </w:rPr>
        <w:t>E. 4.1.1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 ständiger Beitragsdauer oder in Form von Teilrenten für Versicherte mit un- vollständiger Beitragsdauer zur Ausrichtung. Als vollständig gilt die Bei- tragsdauer, wenn die rentenberechtigte Person zwischen dem 1. Januar nach der Vollendung des 20. Altersjahres und dem 31. Dezember vor Ein- tritt des Rentenalters gleich viele Beitragsjahre aufweist wie ihr Jahrgang (Art. 29bis Abs. 1 i.V.m. Art. 29ter Abs. 1 AHVG). Nach Art. 38 AHVG ent- spricht die Teilrente einem Bruchteil der nach den Art. 34 bis Art. 37 AHVG zu ermittelnden Vollrente (Abs. 1). Dieser bemisst sich nach der Verhält- niszahl zwischen der effektiven Beitragsdauer einerseits und der vollstän- digen Beitragsdauer des Jahrgangs anderseits (Art. 38 Abs. 2 AHVG, Art. 52 AHVV; vgl. THOMAS LOCHER, Grundriss des Sozialversicherungs- rechts, 3. Aufl. 2003, § 48 Rz. 20-22). Das Bundesamt für Sozialversiche- rungen stellt verbindliche Rententabellen auf. Dabei beträgt die Abstufung der Monatsrenten, bezogen auf die volle einfache Altersrente, höchstens 2,6 Prozent des Mindestbetrages dieser Rente (Art. 53 Abs. 1 AHVV).</w:t>
      </w:r>
    </w:p>
    <w:p>
      <w:r>
        <w:rPr>
          <w:b/>
        </w:rPr>
        <w:t>E. 4.1.2</w:t>
      </w:r>
    </w:p>
    <w:p>
      <w:r>
        <w:t>Die Beitragsdauer einer versicherten Person bestimmt sich in der Re- gel nach den Einträgen in ihren individuellen Konten (Art. 30ter AHVG). Bei- tragszeiten zwischen dem 31. Dezember vor dem Eintritt des Versiche- rungsfalles und der Entstehung des Rentenanspruchs können zur Auffül- lung von Beitragslücken herangezogen werden. Die in diesem Zeitraum erzielten Erwerbseinkommen werden bei der Rentenberechnung jedoch nicht berücksichtigt (Art. 52c AHVV). Ein volles Beitragsjahr liegt gemäss</w:t>
      </w:r>
    </w:p>
    <w:p>
      <w:r>
        <w:t>C-6491/2023 Seite 7 Art. 50 AHVV vor, wenn eine Person insgesamt länger als elf Monate im Sinne von Art. 1a oder 2 AHVG versichert war und während dieser Zeit den Mindestbeitrag bezahlt hat oder Beitragszeiten im Sinne von Art. 29ter Abs. 2 Bst. b und c AHVG aufweist.</w:t>
      </w:r>
    </w:p>
    <w:p>
      <w:r>
        <w:rPr>
          <w:b/>
        </w:rPr>
        <w:t>E. 4.2</w:t>
      </w:r>
    </w:p>
    <w:p>
      <w:r>
        <w:t>Vorliegend ist unbestritten, dass der Beschwerdeführer infolge des Er- reichens des 65. Altersjahres am (…) August 2021 ab dem 1. September 2021 Anspruch auf eine Altersrente der Schweizerischen Alters- und Hin- terlassenenversicherung hat. Ebenso ist zu Recht unbestritten, dass er auf- grund zurückgelegten Beitragszeiten in der Schweiz seinem Jahrgang ent- sprechend eine vollständige Beitragsdauer aufweist (vgl. dazu IK-Auszug vom 12. Oktober 2022 [SAK-act. 7] sowie Bescheinigung des Versiche- rungsverlaufs vom 12. Dezember 2022 [SAK-act. 17]), weshalb er gemäss den oben dargelegten Voraussetzungen (E. 4.1 bis E. 4.1.2 hiervor) An- spruch auf eine sogenannte Vollrente hat.</w:t>
      </w:r>
    </w:p>
    <w:p>
      <w:r>
        <w:rPr>
          <w:b/>
        </w:rPr>
        <w:t>E. 5</w:t>
      </w:r>
    </w:p>
    <w:p>
      <w:r>
        <w:t>Hingegen ist im vorliegenden Beschwerdeverfahren aufgrund des gestell- ten Begehrens und der Begründung strittig, ob die Vorinstanz im Rahmen der Rentenberechnung für die Jahre 1994 bis 2002, während welcher der Beschwerdeführer mit seiner verstorbenen Ex-Ehefrau verheiratet war, eine Einkommensteilung vornehmen durfte. Zu Recht nicht mehr strittig ist vorliegend, dass dem Beschwerdeführer trotz der (unbestritten) verpassten einjährigen Frist der Rentenaufschub um ein Jahr zu gewähren sei, ist doch die in Art. 55quater Abs. 1 Satz 2 AHVV statuierte Frist zur Erklärung des Rentenaufschubs entgegen der vom Beschwerdeführer im Einsprachever- fahren vertretenen Ansicht gemäss höchstrichterlicher Rechtsprechung des Bundesgerichts gesetzes- und verfassungskonform (vgl. BGE 147 V 70 E. 3.2.3).</w:t>
      </w:r>
    </w:p>
    <w:p>
      <w:r>
        <w:rPr>
          <w:b/>
        </w:rPr>
        <w:t>E. 5.1</w:t>
      </w:r>
    </w:p>
    <w:p>
      <w:r>
        <w:t>Im Zusammenhang mit der Rentenberechnung ist das Folgende dem Gesetz zu entnehmen.</w:t>
      </w:r>
    </w:p>
    <w:p>
      <w:r>
        <w:rPr>
          <w:b/>
        </w:rPr>
        <w:t>E. 5.1.1</w:t>
      </w:r>
    </w:p>
    <w:p>
      <w:r>
        <w:t>Innerhalb der vorliegend infolge vollständiger Beitragsdauer von 44 Jahren anwendbaren Rentenskala 44 bestimmt sich der Rentenbetrag nach dem durchschnittlichen Jahreseinkommen. Dieses setzt sich grund- sätzlich zusammen aus den Erwerbseinkommen, den Erziehungsgutschrif- ten und den Betreuungsgutschriften (Art. 29bis Abs. 1 AHVG [vgl. E. 4.1 hiervor] in Verbindung mit Art. 29quater AHVG). Zur Berechnung des mass- gebenden durchschnittlichen Jahreseinkommens wird auf das von der Aus- gleichskasse für jeden beitragspflichtigen Versicherten geführte</w:t>
      </w:r>
    </w:p>
    <w:p>
      <w:r>
        <w:t>C-6491/2023 Seite 8 individuelle Konto (IK) abgestellt, welches für jeden beitragspflichtigen Ver- sicherten geführt und in welches die entsprechenden Daten eingetragen werden (vgl. Art. 30ter AHVG; Art. 137 ff. AHVV). Im Weiteren wird zur Er- mittlung des massgebenden durchschnittlichen Jahreseinkommens die Summe der Erwerbseinkommen entsprechend dem Rentenindex gemäss Art. 33ter AHVG aufgewertet; das BSV legt die Aufwertungsfaktoren jährlich fest (vgl. Art. 30 Abs. 1 AHVG und Art. 51bis Abs. 1 AHVV). Der Aufwer- tungsfaktor wird nach dem Kalenderjahr bestimmt, in welchem der mass- gebende erste IK-Eintrag vorgenommen wurde (vgl. Rz. 5301 RWL). Die Summe der aufgewerteten Erwerbseinkommen sowie die Erziehungs- oder Betreuungsgutschriften werden durch die Anzahl der Beitragsjahre geteilt (Art. 30 Abs. 2 AHVG; vgl. auch Rz. 5321 RWL). Anschliessend wird der Betrag auf den nächsthöheren Tabellenwert des massgebenden durch- schnittlichen Jahreseinkommens aufgerundet (vgl. Rz. 5101 RWL). Die entsprechenden Eintragungen der Jahreseinkommen im IK werden vom Beschwerdeführer nicht bestritten.</w:t>
      </w:r>
    </w:p>
    <w:p>
      <w:r>
        <w:rPr>
          <w:b/>
        </w:rPr>
        <w:t>E. 5.1.2</w:t>
      </w:r>
    </w:p>
    <w:p>
      <w:r>
        <w:t>Zum vorliegend umstrittenen Punkt der Einkommensteilung ist dem Gesetz im Weiteren zu entnehmen, dass die Einkommensteilung vorge- nommen wird, wenn beide Ehegatten rentenberechtigt sind, wenn eine ver- 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 gatten in der schweizerischen AHV versichert gewesen sind (Art. 29quinquies Abs. 4 AHVG). Nach Art. 50b AHVV werden die Einkommen von Ehepaa- ren in jedem Jahr, in dem beide Ehegatten in der AHV versichert gewesen sind, hälftig geteilt (Abs. 1). Auch wenn die beiden Ehegatten in einem Ka- lenderjahr nicht während der gleichen Monate versichert sind, werden die Einkommen während des ganzen Kalenderjahres aufgeteilt. Die Beitrags- 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t>C-6491/2023 Seite 9</w:t>
      </w:r>
    </w:p>
    <w:p>
      <w:r>
        <w:rPr>
          <w:b/>
        </w:rPr>
        <w:t>E. 5.2</w:t>
      </w:r>
    </w:p>
    <w:p>
      <w:r>
        <w:t>Soweit der Beschwerdeführer geltend macht, dass keine der in Art. 29quinquies Abs. 3 AHVG genannten Bedingungen zuträfen, kann ihm nicht gefolgt werden. Die Vorinstanz weist zutreffend auf den Leitentscheid des Bundesgerichts BGE 126 V 57 hin. Darin hat sich das Bundesgericht mit der Auslegung des Begriffs «eine verwitwete Person» gemäss Art. 29quinquies Abs. 3 Bst. b AHVG auseinandergesetzt. Unter Berücksichti- gung des Sinns und Zwecks der streitigen Vorschrift sowie deren systema- tische Einordnung und Entstehungsgeschichte hat das Bundesgericht fest- gestellt, dass das Einkommenssplitting im Altersfall für die Kalenderjahre einer früheren, durch Tod aufgelösten Ehe unabhängig vom aktuellen Zivil- stand der damals verwitweten Person vorzunehmen ist (vgl. Regeste sowie E. 4 des Leitentscheids). Der Beschwerdeführer und seine damalige, im Jahr 2003 verstorbene Frau waren gemäss vorliegenden Akten in den Jah- ren 1994 bis 2002 beide bei der AHV versichert. Nachdem die Vorinstanz entsprechend den dargelegten Grundsätzen (E. 5.1.2 hiervor) das Jahr der Eheschliessung (1993) sowie das Jahr der Eheauflösung (2003) bei der Einkommensteilung zutreffend nicht berücksichtigt hat, ist sie nach dem soeben Dargelegten bei der im Rahmen der Rentenberechnung vorge- nommenen Einkommensteilung korrekt vorgegangen. Die dabei ermittelte Summe der Einkommen nach Einkommensteilung erweist sich mit Blick auf die unbestritten gebliebenen Eintragungen im IK ebenfalls als korrekt.</w:t>
      </w:r>
    </w:p>
    <w:p>
      <w:r>
        <w:rPr>
          <w:b/>
        </w:rPr>
        <w:t>E. 5.3</w:t>
      </w:r>
    </w:p>
    <w:p>
      <w:r>
        <w:t>Weitere Fehler im Zusammenhang mit der Rentenberechnung macht der Beschwerdeführer nicht geltend und sind aufgrund der Akten auch nicht ersichtlich. Folglich ist die von der Vorinstanz ermittelte monatliche Altersrente von Fr. 2'256.– (bei einer aufgrund einer vollständigen Beitrags- zeit von 44 Jahren anzuwendenden Rentenskala 44 [E. 5 hiervor] und ei- nem nicht zu beanstandenden massgebenden durchschnittlichen Jahres- einkommen von Fr. 77'910.– [vgl. SAK-act. 15 f.; vgl. auch die entspre- chenden Rententabellen 2021/2022, gültig ab 1. Januar 2021, vgl. unter https://sozialversicherungen.admin.ch/de/ &gt; AHV &gt; Grundlagen AHV &gt; Weisungen Renten, Rententabellen Version 15, zuletzt abgerufen am 1. Oktober 2025]) gestützt auf die dargelegte Rechtslage und die Akten nicht zu beanstanden.</w:t>
      </w:r>
    </w:p>
    <w:p>
      <w:r>
        <w:rPr>
          <w:b/>
        </w:rPr>
        <w:t>E. 6</w:t>
      </w:r>
    </w:p>
    <w:p>
      <w:r>
        <w:t>Damit ist die Beschwerde abzuweisen und der Einspracheentscheid vom 15. November 2022 zu bestätigen. Die Beschwerde erweist sich als offen- sichtlich unbegründet, weshalb sie im einzelrichterlichen Verfahren abzu- weisen ist (Art. 23 Abs. 2 VGG i.V. mit Art. 85bis Abs. 3 AHVG).</w:t>
      </w:r>
    </w:p>
    <w:p>
      <w:r>
        <w:t>C-6491/2023 Seite 10</w:t>
      </w:r>
    </w:p>
    <w:p>
      <w:r>
        <w:rPr>
          <w:b/>
        </w:rPr>
        <w:t>E. 7.1</w:t>
      </w:r>
    </w:p>
    <w:p>
      <w:r>
        <w:t>Das Verfahren ist bei Leistungsstreitigkeiten kostenlos (Art. 85bis Abs. 2 AHVG), weshalb keine Verfahrenskosten zu erheben sind.</w:t>
      </w:r>
    </w:p>
    <w:p>
      <w:r>
        <w:rPr>
          <w:b/>
        </w:rPr>
        <w:t>E. 7.2</w:t>
      </w:r>
    </w:p>
    <w:p>
      <w:r>
        <w:t>Die obsiegende Vorinstanz hat als Bundesbehörde keinen Anspruch auf Parteientschädigung (Art. 7 Abs. 3 des Reglements vom 21. Februar 2008 über die Kosten und Entschädigungen vor dem Bundesverwaltungs- gericht [VGKE, SR 73.320.2]). Der unterliegenden Beschwerdeführerin ist entsprechend dem Verfahrensausgang ebenfalls keine Parteientschädi- 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