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C-6491/2012 vom 2. Mai 2013</w:t>
      </w:r>
    </w:p>
    <w:p>
      <w:r>
        <w:t>Bundesverwaltungsgericht, 2013-05-02, IT</w:t>
      </w:r>
    </w:p>
    <w:p>
      <w:r>
        <w:rPr>
          <w:b/>
        </w:rPr>
        <w:t xml:space="preserve">Quelle: </w:t>
      </w:r>
      <w:r>
        <w:t>https://mcp.opencaselaw.ch/entscheid/bvger_C-6491_2012</w:t>
      </w:r>
    </w:p>
    <w:p>
      <w:r>
        <w:t>FR: TAF C-6491/2012 du 2 mai 2013</w:t>
      </w:r>
    </w:p>
    <w:p>
      <w:r>
        <w:t>IT: TAF C-6491/2012 del 2 maggio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ricorrente ha presentato l'impugnativa tempestivamente, rispettando i requisiti previsti dalla legge (art. 59 e 60 LPGA, nonché l'art. 52 cpv. 1 PA), ed ha versato l'anticipo di Fr. 400.-, relativo alle spese processuali, nel termine impartito. Contrariamente a quanto sostenuto dall'UAIE e dall'UAI-TI, questo Tribunale osserva che il ricorrente si limita a contestare implicitamente il calcolo della rendita ("mi sarei aspettato una rendita d'invalidità nel suo intero", "sono d'accordo su una cifra esigua, ma leggermente più consistente di questa"), senza far valere alcuna pretesa indipendente d'indennizzo, di natura civile, per "trauma morale", nozione quest'ultima invocata quale semplice motivo per ottenere una rendita più consistente. Ora, considerato che questo Tribunale applica il diritto d'ufficio ("iura novit curia"), senza essere vincolato in nessun caso ai motivi invocati nell'impugnativa (art. 62 al. 4 PA), occorre entrare nel merito del ricorso.</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6a revisione della LAI (primo pacchetto di misure), in vigore dal 1° gennaio 2012 (RU 2011 5659; FF 2010 1603), sono quindi applicabili, come lo sono le disposizioni della LPGA, se e per quanto la LAI lo preveda (art. 2 LPGA).</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4.3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5</w:t>
      </w:r>
    </w:p>
    <w:p>
      <w:r>
        <w:t>Al ricorrente è stata riconosciuta un'incapacità lavorativa totale dal 5 agosto 2011 (inizio dell'anno d'attesa). Visto che la domanda di rendita è stata depositata il 23 febbraio 2012, il diritto ad una rendita intera d'invalidità è nato il 1° settembre 2012 (cfr. consid. 4.3). Il ricorrente non contesta il diritto alla rendita intera d'invalidità, né la data di decorrenza, bensì l'importo della stessa rendita, e quindi il calcolo che ne è alla base, ritenendo di avere diritto ad un importo più elevato.</w:t>
      </w:r>
    </w:p>
    <w:p>
      <w:r>
        <w:rPr>
          <w:b/>
        </w:rPr>
        <w:t>E. 6.1</w:t>
      </w:r>
    </w:p>
    <w:p>
      <w:r>
        <w:t>L'art. 36 cpv. 2 LAI prevede che le disposizioni della legge federale sull'assicurazione per la vecchiaia e i superstiti del 20 dicembre 1946 (LAVS, RS 831.10), si applicano per analogia al calcolo delle rendite ordinarie d'invalidità. Per il calcolo delle rendite, il Consiglio federale, tramite l'Ufficio federale delle assicurazioni sociali (UFAS), ha allestito delle Tavole, con versioni disponibili in tedesco e francese, il cui uso è obbligatorio (art. 30bis LAVS; http://www.bsv.admin.ch/vollzug/documents/view/365/lang:ita/category:23/viewlang:fre). Ogni cassa di compensazione tiene, sotto il numero dell'assicurato, un conto individuale dei redditi da attività lucrative sui quali le sono stati versati contributi fino all'insorgenza del diritto ad una rendita di vecchiaia (art. 137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w:t>
      </w:r>
    </w:p>
    <w:p>
      <w:r>
        <w:rPr>
          <w:b/>
        </w:rPr>
        <w:t>E. 6.2</w:t>
      </w:r>
    </w:p>
    <w:p>
      <w:r>
        <w:t>Ai sensi dell'art. 29 cpv. 2 LAVS, le rendite ordinarie sono assegnate in forma di rendite complete (scala massima 44, secondo le Tavole) agli assicurati che hanno un periodo di contribuzione completo o rendite parziali agli assicurati che hanno un periodo contributivo incompleto (scale 01 a 43, secondo le Tavole).</w:t>
      </w:r>
    </w:p>
    <w:p>
      <w:r>
        <w:rPr>
          <w:b/>
        </w:rPr>
        <w:t>E. 6.3</w:t>
      </w:r>
    </w:p>
    <w:p>
      <w:r>
        <w:t>Giusta l'art. 29bis LAVS, il calcolo della rendita è determinato dagli anni di contribuzione, dai redditi dell'attività lucrativa nonché dagli accrediti per compiti educativi e d'assistenza tra il 1° gennaio successivo alla data in cui l'avente diritto ha compiuto i venti anni ed il 31 dicembre che precede l'insorgere dell'evento assicurato.</w:t>
      </w:r>
    </w:p>
    <w:p>
      <w:r>
        <w:rPr>
          <w:b/>
        </w:rPr>
        <w:t>E. 6.4</w:t>
      </w:r>
    </w:p>
    <w:p>
      <w:r>
        <w:t>Secondo l'art. 29ter cpv. 1 LAVS, il periodo di contribuzione è completo se una persona presenta lo stesso numero di anni degli assicurati della sua classe d'età.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w:t>
      </w:r>
    </w:p>
    <w:p>
      <w:r>
        <w:rPr>
          <w:b/>
        </w:rPr>
        <w:t>E. 6.5</w:t>
      </w:r>
    </w:p>
    <w:p>
      <w:r>
        <w:t>Il reddito annuo medio si compone dei redditi risultanti da un'attività lucrativa e dagli accrediti per compiti educativi e assistenziali (art. 29quater LAVS). La somma dei redditi dell'attività lucrativa è rivalutata in funzione dell'evoluzione dei prezzi e dei salari. Il Consiglio federale determina annualmente i fattori di rivalutazione. La somma dei redditi rivalutati derivanti da un'attività lucrativa e gli accrediti per compiti educativi e assistenziali sono divisi per il numero di anni di contribuzione (art. 30 cpv. 1 LAVS). Un accredito per compiti educativi è computato agli assicurati per gli anni in cui avevano figli a carico ed erano assicurati all'AVS/AI; esso corrisponde al triplo della rendita annua minima (art. 29sexies LAVS). Il diritto all'accredito per compiti educativi sorge nell'anno civile seguente la nascita del primo figlio e si estingue al più tardi alla fine dell'anno civile nel quale il figlio compie sedici anni; esso è sempre attribuito per l'intero anno civile (art. 52f cpv. 1 OAVS).</w:t>
      </w:r>
    </w:p>
    <w:p>
      <w:r>
        <w:rPr>
          <w:b/>
        </w:rPr>
        <w:t>E. 7</w:t>
      </w:r>
    </w:p>
    <w:p>
      <w:r>
        <w:t>Ora, come risulta dalla decisione avversata, il ricorrente avrebbe dovuto avere versato, per potere beneficiare di una durata contributiva completa, contributi durante ventitré anni fino al 2012 (scala delle rendite 44), anno in cui l'invalidità si è dichiarata (Tavole, versione del 1° gennaio 2011, pag. 18). Al ricorrente possono essere però riconosciuti contributi per soli quattro anni interi, periodo che corrisponde alla scale delle rendite 8 (Tavole 2011, pag. 10). In base a questa scala delle rendite e al reddito annuo medio determinante di Fr. 38'976.- (reddito totale percepito, dal 2007 al 2011, di Fr. 184'721.-, diviso per la durata totale di contribuzione di 4 anni e 9 mesi), la rendita intera d'invalidità corrisponde mensilmente a Fr. 310.- dal 1° settembre 2012 (Tavole 2011, pag. 90), importo aumentato a Fr. 312.- dal 1° gennaio 2013 (Tavole 2013, pag. 90). Procedendo in questo modo, l'UAIE ha dunque eseguito correttamente il calcolo della rendita d'invalidità dovuta al ricorrente.</w:t>
      </w:r>
    </w:p>
    <w:p>
      <w:r>
        <w:rPr>
          <w:b/>
        </w:rPr>
        <w:t>E. 8</w:t>
      </w:r>
    </w:p>
    <w:p>
      <w:r>
        <w:t>Di conseguenza, il ricorso deve essere respinto e la decisione impugnata confermata.</w:t>
      </w:r>
    </w:p>
    <w:p>
      <w:r>
        <w:rPr>
          <w:b/>
        </w:rPr>
        <w:t>E. 9</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LAVS,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10</w:t>
      </w:r>
    </w:p>
    <w:p>
      <w:r>
        <w:t>Secondo l'art. 63 cpv. 1 PA, le spese processuali sono di regola messe a carico della parte soccombente. In concreto, visto l'esito della procedura, le spese processuali sono addossate al ricorrente e compensate con l'anticipo di Fr. 400.- versato il 27 febbraio 2013. In conformità con l'art. 64 cpv. 1 PA, l'autorità di ricorso, se ammette il ricorso in tutto o in parte, può assegnare al ricorrente una indennità per le spese indispensabili e relativamente elevate che ha sopportato (spese ripetibili). Tenuto conto dell'esito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