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C-6481/2011 vom 22. März 2012</w:t>
      </w:r>
    </w:p>
    <w:p>
      <w:r>
        <w:t>Bundesverwaltungsgericht, 2012-03-22, FR</w:t>
      </w:r>
    </w:p>
    <w:p>
      <w:r>
        <w:rPr>
          <w:b/>
        </w:rPr>
        <w:t xml:space="preserve">Quelle: </w:t>
      </w:r>
      <w:r>
        <w:t>https://mcp.opencaselaw.ch/entscheid/bvger_C-6481_2011</w:t>
      </w:r>
    </w:p>
    <w:p>
      <w:r>
        <w:t>FR: TAF C-6481/2011 du 22 mars 2012</w:t>
      </w:r>
    </w:p>
    <w:p>
      <w:r>
        <w:t>IT: TAF C-6481/2011 del 22 marzo 2012</w:t>
      </w:r>
    </w:p>
    <w:p>
      <w:pPr>
        <w:pStyle w:val="Heading2"/>
      </w:pPr>
      <w:r>
        <w:t>Regeste</w:t>
      </w:r>
    </w:p>
    <w:p>
      <w:r>
        <w:t>Assurance facultative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l'adhésion à l'assurance-vieillesse, survivants et invalidité facultative.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2.1</w:t>
      </w:r>
    </w:p>
    <w:p>
      <w:r>
        <w:t>Selon l'art. 2 al. 1 LAVS les ressortissants suisses et les ressortissants des Etats membres de la Communauté européenne ou de l'Association de libre-échange (AELE) vivant dans un Etat non membre de la Communauté européenne ou de l'AELE qui cessent d'être soumis à l'assurance obligatoire après une période d'assurance ininterrompue d'au moins cinq ans, peuvent adhérer à l'assurance facultative. La période requise de 5 ans est une période d'assurance et non de cotisations. L'al. 6 de la disposition prévoit que le Conseil fédéral édicte les dispositions complémentaires sur l'assurance facultative et fixe notamment le délai et les modalités d'adhésion. Selon l'art. 8 de l'ordonnance du 26 mai 1961 sur l'assurance-vieillesse, survivants et invalidité facultative (OAF; RS 831.111), la déclaration d'adhésion à l'assurance facultative doit être déposée en la forme écrite auprès de la représentation compétente dans un délai d'un an à compter de la sortie de l'assurance obligatoire. En l'espèce l'intéressé a adressé à la CSC une demande d'adhésion datée du 17 juillet 2011 qui est parvenue à la CSC le 28 juillet suivant, soit largement après le délai d'une année à compter de son départ de Suisse pour les Philippines en mai 2010. Il s'ensuit de ce qui précède que la demande d'affiliation est tardive.</w:t>
      </w:r>
    </w:p>
    <w:p>
      <w:r>
        <w:rPr>
          <w:b/>
        </w:rPr>
        <w:t>E. 2.2</w:t>
      </w:r>
    </w:p>
    <w:p>
      <w:r>
        <w:t>L'art. 29 al. 1 LPGA énonce que celui qui fait valoir son droit à des prestations doit s'annoncer à l'assureur compétent, dans la forme prescrite pour l'assurance concernée et l'al. 3 précise que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Or par courriel du 9 mars 2011 l'intéressé s'est adressé à la CSC en vue de son adhésion. Le contenu de sa requête n'a toutefois pas tendu à une adhésion mais à l'obtention d'informations en vue d'une éventuelle adhésion après examen des modalités d'assurance et des prestations. Cette requête ne peut dès lors être considérée comme une demande d'adhésion hors la formule idoine qui aurait été formulée dans le délai d'un an à compter la sortie de l'assurance obligatoire (cf. Michel Valterio, Droit de l'assurance-vieillesse et survivants (AVS) et de l'assurance-invalidité (AI), Zurich 2011 n° 161).</w:t>
      </w:r>
    </w:p>
    <w:p>
      <w:r>
        <w:rPr>
          <w:b/>
        </w:rPr>
        <w:t>E. 3.1</w:t>
      </w:r>
    </w:p>
    <w:p>
      <w:r>
        <w:t>Dans son recours l'intéressé fait valoir qu'il avait pensé de bonne foi avoir été assuré à l'AVS/AI obligatoire jusqu'au prononcé de son divorce le 11 février 2011 du fait de son ex-conjointe comme il l'avait compris de la communication du Consulat général de Suisse de 2004 relativement à son statut de personne assurée à l'époque.</w:t>
      </w:r>
    </w:p>
    <w:p>
      <w:r>
        <w:rPr>
          <w:b/>
        </w:rPr>
        <w:t>E. 3.2</w:t>
      </w:r>
    </w:p>
    <w:p>
      <w:r>
        <w:t>Cet allégué qui s'inscrit dans le cadre de la protection de la bonne foi des administrés ne peut être retenu. Premièrement l'intéressé ne peut faire valoir une correspondance de 2004 pour motiver le bien-fondé d'une démarche en 2011, il lui appartenait en effet de s'informer de ses droits et obligations au moment de quitter la Suisse compte tenu éventuellement d'une modification de la législation. L'assurance AVS/AI étant facultative la recherche d'informations lui incombait entièrement au moins dans la mesure d'une quête active d'informations sur lesquelles fonder ses démarches (cf. Blaise Knapp, Précis de droit administratif, Bâle 1991, p. 111, n° 523; voir ég. ATF 114 V 1; RCC 1988 p. 397, RCC 1972 p. 684, RCC 1962 p. 465). Deuxièmement l'information donnée en 2004 était correcte mais elle ne concernait que la situation de droit de l'intéressé à cette époque, qui était domicilié en Suisse, mariée à une personne cotisant comme personne active à l'AVS/AI obligatoire pour un montant correspondant à plus du double de la cotisation minimale alors que lui-même était sans activité lucrative. Or comme l'a relevé la CSC, n'étant plus domicilié en Suisse l'intéressé n'a plus été personnellement assuré à l'AVS/AI obligatoire conformément à l'art. 1a LAVS indépendamment d'un motif d'exemption à cotisations selon l'art. 3 LAVS. Troisièmement, suite à sa requête du 9 mars 2011 la CSC a le 25 mars 2011 répondu à l'intéressé et indiqué qu'il devait déposer une demande d'adhésion dans l'année suivant sa sortie de l'assurance obligatoire. La réponse contenait en annexe le PDF de déclaration d'affiliation dont a fait usage l'intéressé seulement en juillet 2011.</w:t>
      </w:r>
    </w:p>
    <w:p>
      <w:r>
        <w:rPr>
          <w:b/>
        </w:rPr>
        <w:t>E. 4.1</w:t>
      </w:r>
    </w:p>
    <w:p>
      <w:r>
        <w:t>Selon l'art. 11, 1ère phrase OAF, en cas de circonstances extraordinaires dont le requérant ne peut pas être rendu responsable, la caisse de compensation peut, sur demande, prolonger individuellement d'une année au plus le délai d'adhésion à l'assurance. Par circonstances extraordinaires sont visés par la disposition des événements objectifs, c'est-à-dire les cas où la personne a été empêchée de présenter sa demande d'adhésion pour des raisons indépendantes de sa volonté (p. ex. en cas de cataclysme naturel ou de menace de guerre) ou lorsqu'elle a déposé sa demande tardivement suite à un faux renseignement de la caisse de compensation. En revanche l'erreur de droit commise par l'intéressé concernant sa qualité d'assuré vis-à-vis de l'AVS ne représente pas une circonstance extraordinaire propre à justifier une prolongation du délai (ATF 114 V 1 consid. 4b et les références; Valterio, op. cit, n° 162).</w:t>
      </w:r>
    </w:p>
    <w:p>
      <w:r>
        <w:rPr>
          <w:b/>
        </w:rPr>
        <w:t>E. 4.2</w:t>
      </w:r>
    </w:p>
    <w:p>
      <w:r>
        <w:t>En l'espèce le retard de l'intéressé dans le dépôt de sa demande d'adhésion relève d'une méconnaissance de ses droits et obligations résultant du fait qu'il ne s'est pas enquis des démarches à effectuer en quittant la Suisse. La méconnaissance du droit n'est pas en soi reprochée à l'intéressé mais le fait de ne pas s'être renseigné et le retard de sa démarche. Comme dit plus haut, il ne pouvait en 2011 se fonder sur une communication de la CSC et du Consulat de Sydney de 2004 alors même qu'en mars 2011 il lui avait été indiqué la nécessité de déposer une demande d'adhésion dans l'année suivant la sortie de l'assurance obligatoire. Même s'il envisageait ne pas être concerné par ce délai compte tenu de son mariage encore effectif, il se devait de s'en assurer auprès de la CSC. L'information de 2004 ne pouvait être tenue raisonnablement pour toujours actuelle, ce d'autant que l'OAF a connu plusieurs modifications entrées en vigueur au 1er janvier 2008.</w:t>
      </w:r>
    </w:p>
    <w:p>
      <w:r>
        <w:rPr>
          <w:b/>
        </w:rPr>
        <w:t>E. 5</w:t>
      </w:r>
    </w:p>
    <w:p>
      <w:r>
        <w:t>Vu ce qui précède, manifestement mal fondé le recours doit être rejeté et la décision attaquée confirmée dans une procédure à juge unique en application de l'art. 85bis al. 3 LAVS en relation avec l'art. 23 al. 2 LTAF.</w:t>
      </w:r>
    </w:p>
    <w:p>
      <w:r>
        <w:rPr>
          <w:b/>
        </w:rPr>
        <w:t>E. 6</w:t>
      </w:r>
    </w:p>
    <w:p>
      <w:r>
        <w:t>Il n'est pas perçu de frais de procédure (art. 85bis al. 2 LAVS) ni, vue l'issue du recours,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