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C-6480/2014 vom 25. Oktober 2016</w:t>
      </w:r>
    </w:p>
    <w:p>
      <w:r>
        <w:t>Bundesverwaltungsgericht, 2016-10-25, DE</w:t>
      </w:r>
    </w:p>
    <w:p>
      <w:r>
        <w:rPr>
          <w:b/>
        </w:rPr>
        <w:t xml:space="preserve">Quelle: </w:t>
      </w:r>
      <w:r>
        <w:t>https://mcp.opencaselaw.ch/entscheid/bvger_C-6480_2014</w:t>
      </w:r>
    </w:p>
    <w:p>
      <w:r>
        <w:t>FR: TAF C-6480/2014 du 25 octobre 2016</w:t>
      </w:r>
    </w:p>
    <w:p>
      <w:r>
        <w:t>IT: TAF C-6480/2014 del 25 ottobre 2016</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Krankversicherung [KVG,SR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w:t>
      </w:r>
    </w:p>
    <w:p>
      <w:r>
        <w:t>Anfechtungsobjekt ist die Verfügung der Vorinstanz vom 3. Oktober 2014 (BAG-act. 5 sowie Beilage 1 zu BVGer-act. 1), mit welcher im Rahmen der Überprüfung der Aufnahmebedingungen nach Ablauf des Patentschutzes der Publikumspreis (PP) der gesamten Gamme des von der Beschwerdeführerin vertriebenen Arzneimittels Y._______ unter alleiniger Anwendung des Auslandpreisvergleichs per (...) 2015 um (...) % gesenkt wurde. Die Beschwerde richtet sich gegen diese Verfügung als Ganzes (vgl. BVGer-act. 1 S. 2). Dieser Sachverhalt steht fest und ist unbestritten. Streitgegenstand, der sich grundsätzlich durch den Gegenstand der angefochtenen Verfügung sowie die Parteibegehren bestimmt (BGE 133 II 35 E. 2), ist vorliegend damit die Rechtmässigkeit der angeordneten Preissenkung per (...) 2015 für das Arzneimittel Y._______ und die dabei anzuwendende Prüfmethode.</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3.1.1</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3.1.4</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19. September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das Gericht nicht (vgl. BGE 127 V 67 E. 1.1.1 mit Hinweisen).</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3.3</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3. Oktober 2014 geltenden materiellen Bestimmungen (vgl. Urteil des BVGer C-2979/2008 vom 1. Dezember 2010 E. 4.1). Dazu gehören einerseits namentlich das KVG in der nach Inkrafttreten der Änderung vom 1. März 2014 geltenden Fassung (AS 2014 387; BBl 2013 2459 2469), die KVV in der nach Inkrafttreten der Änderung vom 1. März 2014 geltenden Fassung (AS 2013 4523) und die KLV in der nach Inkrafttreten der Änderung vom 1. Juli 2014 geltenden Fassung (AS 2014 1251). Sofern die Parteien Ausführungen zu nach Erlass der Verfügung in Kraft getretenen bzw. geänderten Bestimmungen machen, ist vorliegend nicht darauf einzugehen.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32 Abs. 1 KVG,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71 KVV nicht rechtzeitig entrichtet werden (Bst. e), die Zulassungsinhaberin sich nach Aufforderung des BAG weigert, ihrer Meldepflicht gemäss Artikel 65f Absatz 4 nachzukommen (Bst. f) oder die Zulassungsinhaberin sich weigert, erzielte Mehreinnahmen nach Artikel 67 Absatz 2ter einzuzahlen (Bst. g).</w:t>
      </w:r>
    </w:p>
    <w:p>
      <w:r>
        <w:rPr>
          <w:b/>
        </w:rPr>
        <w:t>E. 4.7</w:t>
      </w:r>
    </w:p>
    <w:p>
      <w:r>
        <w:t>Das BAG überprüft sämtliche Arzneimittel, die in der Spezialitätenliste aufgeführt sind, periodisch alle drei Jahre darauf hin, ob sie die Aufnahmebedingungen noch erfüllen (Art. 65d Abs. 1 KVV i.V.m. Art. 35b Abs. 1 KLV; Art. 32 Abs. 2 KVG). Diese Überprüfung findet auch statt bei Ablauf des Patentschutzes von Originalpräparaten (Art. 65e Abs. 1 KVV), bei einer Indikationserweiterung eines Originalpräparates und bei einem Gesuch um Änderung oder Aufhebung einer Limitierung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zuletzt besucht am 19. September 2016 [im Folgenden:] Gutachten Gächter/Meienberger).</w:t>
      </w:r>
    </w:p>
    <w:p>
      <w:r>
        <w:rPr>
          <w:b/>
        </w:rPr>
        <w:t>E. 5</w:t>
      </w:r>
    </w:p>
    <w:p>
      <w:r>
        <w:t>Nicht strittig ist, dass für das Arzneimittel Y._______ nach wie vor eine gültige Zulassung des Heilmittelinstituts (Swissmedic) vorliegt (siehe auch die Liste der zugelassenen Präparate abrufbar unter www.swissmedic.ch &gt; Arzneimittel &gt; Zugelassene Präparate &gt; Human- und Tierarzneimittel, zuletzt besucht am 19. September 2016). Ebenfalls nicht umstritten ist, dass Y._______ die Zulassungsvoraussetzungen der Wirksamkeit und Zweck­mässigkeit immer noch erfüllt. Laut SL-Handbuch (Stand: 1. März 2013) geht das BAG in der Regel bei der Preisüberprüfung nach Patentablauf davon aus, dass ein Arzneimittel weiterhin wirksam und zweckmässig ist (Ziffer F.1.3). Auch hinsichtlich des Auslandpreisvergleichs sind sich die Beschwerdeführerin und die Vorinstanz einig, konnten doch die diesbezüglichen Differenzen im vorinstanzlichen Verfahren bereinigt werden (vgl. BAG-act. 1-5). Zu überprüfen ist im Folgenden, ob die von der Vorinstanz im Rahmen der Beurteilung der Wirtschaftlichkeit von Y._______ nach Patentablauf angeordnete Preisreduktion rechtskonform ist.</w:t>
      </w:r>
    </w:p>
    <w:p>
      <w:r>
        <w:rPr>
          <w:b/>
        </w:rPr>
        <w:t>E. 5.1</w:t>
      </w:r>
    </w:p>
    <w:p>
      <w:r>
        <w:t>Art. 65b KVV in der ab 1. Oktober 2009 geltenden Fassung (AS 2009 4245) regelt im 4. Abschnitt "Spezialitätenliste" die Beurteilung der Wirt­schaftlichkeit von Arzneimitteln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Auslandspreisvergleich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5.1.1</w:t>
      </w:r>
    </w:p>
    <w:p>
      <w:r>
        <w:t>Gemäss Art. 34 Abs. 2 KLV (in der seit 1. Juli 2002 geltenden Fas­sung; AS 2002 3013) werden für die Beurteilung der Wirtschaftlichkeit eines Arzneimittels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berücksichtigt. Zudem wird bei einem Arzneimittel im Sinne von Artikel 31 Absatz 2 Buchstaben a und b ein Innovationszuschlag für die Dauer von höchstens 15 Jahren berück­sichtigt; in diesem Zuschlag sind die Kosten für Forschung und Ent­wicklung angemessen zu berücksichtigen (Bst. d).</w:t>
      </w:r>
    </w:p>
    <w:p>
      <w:r>
        <w:rPr>
          <w:b/>
        </w:rPr>
        <w:t>E. 5.1.2</w:t>
      </w:r>
    </w:p>
    <w:p>
      <w:r>
        <w:t>Die Wirtschaftlichkeit eines Arzneimittels beurteilt sich somit gemäss Art. 34 Abs. 2 KLV teils unter dem Gesichtspunkt der vergleichenden Wertung von zum gleichen Behandlungszweck zur Verfügung stehender Heilmittel (Bst. b und c KLV; TQV als behandlungskostenbezogenes vergleichendes Element), teils nach der Höhe der Preise des in Frage stehenden Präparates an sich (Bst. a; APV als preisbezogenes Element). Dabei gilt für den Auslandpreisvergleich im Rahmen der ordentlichen Wirtschaftlichkeitsprüfung Art. 35 KLV ("Preisvergleich mit dem Ausland", in der seit 1. Mai 2012 geltenden Fassung; AS 2012 1769; vgl. Art. 34 Abs. 2 KLV).</w:t>
      </w:r>
    </w:p>
    <w:p>
      <w:r>
        <w:rPr>
          <w:b/>
        </w:rPr>
        <w:t>E. 5.2</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auch C-5912/2013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 ) 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6</w:t>
      </w:r>
    </w:p>
    <w:p>
      <w:r>
        <w:t>Die umstrittene Preisreduktion erfolgte im Rahmen einer Überprüfung der Aufnahmebedingungen nach Patentablauf in Anwendung von Art. 65e KVV. Der Patentschutz für das Arzneimittel Y._______ lief nach unbestrittenen Angaben der Beschwerdeführerin am (...) 2015 aus (vgl. BAG-act. 2). Bezüglich der Überprüfung der Aufnahmebedingungen nach Patentablauf enthalten die KVV und die KLV folgende Bestimmungen:</w:t>
      </w:r>
    </w:p>
    <w:p>
      <w:r>
        <w:rPr>
          <w:b/>
        </w:rPr>
        <w:t>E. 6.1</w:t>
      </w:r>
    </w:p>
    <w:p>
      <w:r>
        <w:t>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w:t>
      </w:r>
    </w:p>
    <w:p>
      <w:r>
        <w:rPr>
          <w:b/>
        </w:rPr>
        <w:t>E. 6.2</w:t>
      </w:r>
    </w:p>
    <w:p>
      <w:r>
        <w:t>Nach Art. 37 KLV muss für die Überprüfung eines Originalpräparates nach Art. 65e KVV die Zulassungsinhaberin dem BAG spätestens sechs Monate vor Ablauf des Patentschutzes unaufgefordert die Preise in allen Vergleichsländern nach Art. 35 Abs. 2 KLV und die Umsatzzahlen der letzten vier Jahre vor Patentablauf nach Art. 65c Abs. 2-4 KVV angeben. Die Durchschnittspreise der Vergleichsländer werden auf der Homepage des BAG publiziert. Die Prüfung nach Art. 37 KLV umfasst alle Packungsgrössen, Dosierungen und galenischen Formen des Originalpräparats (Art. 37d Abs. 1 KLV). Massgebend für den Zeitpunkt der Überprüfung ist das Datum der Aufnahme der ersten Packungsgrösse, Dosierung oder galenischen Form eines Originalpräparats in die Spezialitätenliste. Gemäss Abs. 4 der Übergangsbestimmungen zur KLV-Änderung vom 21. März 2012 (gültig vom 1. Mai 2012 bis 31. Dezember 2014) ist unter anderem für die Überprüfung von Eingaben nach Art. 37 KLV, die von den Zulassungsinhaberinnen beim BAG zwischen dem 1. November 2011 und dem 31. Juli 2012 eingereicht werden, der durchschnittliche Wechselkurs massgebend, der für den Zeitraum vom 1. Februar 2011 bis zum 31. Januar 2012 ermittelt wurde. Im vorliegenden Fall hat die Be­schwerdeführerin das Gesuch am 28. August 2014 eingereicht, weshalb diese Übergangsbestimmung vorliegend nicht zur Anwendung kommt.</w:t>
      </w:r>
    </w:p>
    <w:p>
      <w:r>
        <w:rPr>
          <w:b/>
        </w:rPr>
        <w:t>E. 7</w:t>
      </w:r>
    </w:p>
    <w:p>
      <w:r>
        <w:t>Zu prüfen ist als Erstes die Rüge der Beschwerdeführerin, wonach Art. 65e KVV gegen übergeordnetes Recht, namentlich Art. 32 Abs. 2 KVG, verstosse.</w:t>
      </w:r>
    </w:p>
    <w:p>
      <w:r>
        <w:rPr>
          <w:b/>
        </w:rPr>
        <w:t>E. 7.1</w:t>
      </w:r>
    </w:p>
    <w:p>
      <w:r>
        <w:t>Die Beschwerdeführerin macht insbesondere geltend, Art. 32 Abs. 2 KVG fordere eine periodische Überprüfung der SL-Aufnahmekriterien Wirksamkeit, Zweckmässigkeit und Wirtschaftlichkeit (WZW). Vor Einführung der periodischen Überprüfung der WZW-Kriterien nach Art. 65d KVV sei Art. 65e KVV - zusammen mit der heute nicht mehr existierenden Bestimmung, dass maximal 15 Jahre nach SL-Aufnahme eine WZW-Prüfung erneut durchzuführen sei - sozusagen ein Auffangbecken für die ab dem dritten Jahr nach SL-Aufnahme nicht mehr überprüften Arzneimittel gewesen. Nachdem Art. 65d KVV diesen Missstand beseitigt habe, hätte Art. 65e KVV, welcher nie einen korrekten Vollzug des Gesetzes darstellte, gestrichen oder zumindest angepasst werden müssen. Mit der Einführung von Art. 65d KVV bleibe kein Raum für eine zusätzliche punktuelle und damit in Bezug auf die gesetzliche Vorgabe der Periodizität falsche Verordnungsbestimmung. Aufgrund derselben Zweckbestimmung sei unzulässig, sowohl eine periodische als auch eine punktuelle Überprüfung der WZW-Kriterien durchzuführen. Die Rechtssystematik werde durch den Verbleib erheblich gestört, da im Konkurrenzfalle nicht klar sei, welche Bestimmung vorgehe. Ohne Streichung der besagten Bestimmung verrichte das BAG unnötige Arbeit und vergrössere unnötig die Anzahl nicht definitiv verfügter Preise aufgrund von sich zeitlich möglicherweise überlappenden Beschwerden gegen Preisanpassungen im Rahmen von Art. 65d KVV und Art. 65e KVV. Auch sei der Begriff Patentablauf nicht sauber definiert. Darüber hinaus stelle das BAG bei der WZW-Prüfung nach Patentablauf entweder auf die Bereitschaft der Zulassungsinhaberin zur Selbstdeklaration ab oder auf den Markteintritt von Generika, was beides untaugliche Mittel seien, um den Zeitpunkt des Patentablaufs festzustellen. Überdies führe eine Überprüfung vor Patentablauf zu keinen Einsparungen, da sich das europäische Preisgefüge vor Verstreichen des Patentschutzes noch nicht bewegt habe. Vielmehr greife die dreijährliche Überprüfung gemäss Art. 65d KVV diese Bewegung auf (vgl. BVGer-act. 1 Rz. 14-30 und BVGer-act. 16 Rz. 8-17).</w:t>
      </w:r>
    </w:p>
    <w:p>
      <w:r>
        <w:rPr>
          <w:b/>
        </w:rPr>
        <w:t>E. 7.2</w:t>
      </w:r>
    </w:p>
    <w:p>
      <w:r>
        <w:t>Die Vorinstanz stellt sich demgegenüber auf den Standpunkt, der Verordnungsgeber habe bewusst an der Bestimmung von Art. 65e KVV festgehalten, da für die Festsetzung der Preise für Generika ein aktueller Wert wünschenswert sei. Die Überprüfung der Wirtschaftlichkeit 15 Jahre nach Aufnahme in die SL sei hingegen mit Einführung der dreijährlichen periodischen Überprüfung obsolet und folglich gestrichen worden. Demgegenüber sei Art. 65e KVV nicht obsolet geworden, weil eine punktuelle Überprüfung durch eine periodische nicht ausgeschlossen werde. Dies ergebe sich implizit aus Art. 68 KVV, gemäss welchem Arzneimittel aus der SL zu streichen seien, wenn die Aufnahmebedingungen nicht mehr erfüllt seien. Der Kerngedanke der Überprüfung nach Patentablauf sei in erster Linie die Ermittlung des aktuellen Wertes des ausländischen Durchschnittspreises des Originalpräparats zur Beurteilung der Wirtschaftlichkeit von Generika und nicht Einsparungen. Der Einfluss des Patentablaufs in den Referenzländern werde sich jedoch in der folgenden dreijährlichen Überprüfung zeigen. Der Erfahrung nach sei der Preis des betreffenden Arzneimittels bei der Überprüfung nach Patentablauf aber in den meisten Fällen bereits vor Patentablauf tiefer als in der Schweiz. Dies gelte umso mehr, wenn in den Referenzländern das Wirkstoffpatent früher ablaufe als in der Schweiz oder wenn in der Schweiz noch ein Erstanmelderschutz bestehe. Daher sei Art. 65e KVV nicht rechtswidrig. Im Weiteren werde das Institut der Selbstdeklaration überall dort eingesetzt, wo - wie vorliegend - eine durchgehende staatliche Kontrolle unverhältnismässigen Aufwand verursachen würde (vgl. BVGer-act. 11 Rz. 7-23 und BVGer-act. 22 Rz. 9-21).</w:t>
      </w:r>
    </w:p>
    <w:p>
      <w:r>
        <w:rPr>
          <w:b/>
        </w:rPr>
        <w:t>E. 7.3</w:t>
      </w:r>
    </w:p>
    <w:p>
      <w:r>
        <w:t>Im in Rechtskraft erwachsenen Urteil C-814/2013 vom 10. Juni 2016 musste sich das Bundesverwaltungsgericht ebenfalls mit der Frage auseinandersetzen, ob Art. 65e KVV gegen übergeordnetes Recht, namentlich Art. 32 Abs. 2 KVG, verstösst.</w:t>
      </w:r>
    </w:p>
    <w:p>
      <w:r>
        <w:rPr>
          <w:b/>
        </w:rPr>
        <w:t>E. 7.3.1</w:t>
      </w:r>
    </w:p>
    <w:p>
      <w:r>
        <w:t>Unter Verweis auf sein Grundsatzurteil BVGE 2015/51 (Urteil C-5912/2013 vom 30. April 2015) führte das Bundesverwaltungsgericht einleitend aus, das in Art. 32 Abs. 1 KVG statuierte Gebot der Wirtschaftlichkeit der Leistung als eine Voraussetzung der Kostenübernahme durch die obligatorische Krankenpflegeversicherung diene der konkreten Umsetzung des - im Gesetz nicht ausdrücklich genannten - Zwecks der Kosteneindämmung im Gesundheitswesen. Durch die in Art. 32 Abs. 2 KVG vorgeschriebene periodische Überprüfung der WZW-Kriterien sollen insbesondere unnötige Kosten gespart werden, und das Bundesamt hat sich beim Erstellen der Spezialitätenliste überdies am allgemein gültigen Ziel einer qualitativ hochstehenden und zweckmässigen gesundheitlichen Versorgung zu möglichst günstigen Kosten gemäss Art. 43 Abs. 6 KVG zu orientieren. Die Berechtigung und die Verpflichtung zur Prüfung der Wirksamkeit, der Zweckmässigkeit und der Wirtschaftlichkeit von Arzneimitteln ergeben sich aus dem Gesetz und bezwecken die Sicherstellung einer qualitativ hochstehenden und zweckmässigen Gesundheitsversorgung zu möglichst günstigen Kosten (E. 7.5).</w:t>
      </w:r>
    </w:p>
    <w:p>
      <w:r>
        <w:rPr>
          <w:b/>
        </w:rPr>
        <w:t>E. 7.3.2</w:t>
      </w:r>
    </w:p>
    <w:p>
      <w:r>
        <w:t>Das Bundesverwaltungsgericht hat in seinem Urteil C-814/2013 vom 10. Juni 2016 ferner im Wesentlichen Folgendes ausgeführt:</w:t>
      </w:r>
    </w:p>
    <w:p>
      <w:r>
        <w:rPr>
          <w:b/>
        </w:rPr>
        <w:t>E. 7.3.2.1</w:t>
      </w:r>
    </w:p>
    <w:p>
      <w:r>
        <w:t>Das Gesetz - insbesondere Art. 32 Abs. 2 KVG - mache zum Verfahren und zum Rhythmus der periodischen Überprüfung der WZW-Kriterien keine Vorgaben. Bei der Regelung des Verfahrens und des Überprüfungsrhythmus bewegen sich der Bundesrat und das EDI im Rahmen der ihnen in Art. 96 KVG bzw. in Art. 70a KVV sowie Art. 75 KVV eingeräumten Vollzugskompetenzen. In welchem Rhythmus die periodische Überprüfung im Sinn von Art. 32 Abs. 2 KVG zu erfolgen hat, ist dem Verordnungsgeber - unter der Bedingung, dass der zeitliche Abstand zwischen den Überprüfungen das Ziel des Gesetzgebers, nur Leistungen zu vergüten, die den Anforderungen von Art. 32 Abs. 1 KVG entsprechen, nicht illusorisch macht - im Rahmen seiner Vollzugskompetenzen anheimgestellt (BGE 142 V 26 E. 5.6). Mit Blick auf die angestrebte Kosteneindämmung ist nicht ersichtlich, inwiefern eine neben der periodischen Überprüfung vorgesehene Überprüfung nach Patentablauf aus dem Rahmen der dem BAG im Gesetz delegierten Kompetenzen fällt. Jedenfalls könne aus der vom Gesetz geforderten Periodizität nicht geschlossen werden, dass punktuelle Preisüberprüfungen wie nach Patentablauf durch die Einführung des dreijährlichen Rhythmus nicht mehr zulässig sind (E. 7.6).</w:t>
      </w:r>
    </w:p>
    <w:p>
      <w:r>
        <w:rPr>
          <w:b/>
        </w:rPr>
        <w:t>E. 7.3.2.2</w:t>
      </w:r>
    </w:p>
    <w:p>
      <w:r>
        <w:t>Auch nach einer Indikationserweiterung oder einer Limitierungsänderung (Art. 66 KVV [in der seit 10. Oktober 2009 geltenden Fassung, AS 2009 4245] bzw. 66a [in der seit 10. Mai 2006 geltenden Fassung, AS 2006 1717]; seit dem 1. Juni 2013 beides in Art. 65f KVV geregelt [AS 2013 1353]) finden punktuelle Überprüfungen statt. Weil ein Arzneimittel während der gesamten Dauer des Verbleibs in der SL die Voraussetzungen von Art. 32 Abs. 1 KVG zu erfüllen hat, andernfalls es gemäss Art. 68 Abs. 1 Bst. a KVV aus der SL gestrichen wird (BVGE 2015/51 E. 8.2.3), müssen auch ausserordentliche oder punktuelle Überprüfungen möglich bzw. zulässig sein. Ohne die Möglichkeit, ein Präparat bereits (unmittelbar) nach Ablauf des Patentschutzes zu überprüfen, hätte die Vor­instanz lediglich im Rahmen einer periodischen dreijährlichen Überprüfung Handhabe, dem Umstand Rechnung zu tragen, dass nach Ablauf des Patentschutzes die Kosten für Forschung und Entwicklung bei der Preisbestimmung nicht mehr zu berücksichtigen sind (Art. 65e Abs. 2 KVV und Art. 34 Abs. 2 Bst. d KLV). Im ungünstigsten Fall wäre dies erst nach über zwei Jahren möglich, was dem übergeordneten gesetzgeberischen Ziel gemäss Art. 43 Abs. 6 KVG (qualitativ hochstehende und zweckmässige Gesundheitsversorgung zu möglichst günstigen Kosten) nicht dienlich wäre (E. 7.7).</w:t>
      </w:r>
    </w:p>
    <w:p>
      <w:r>
        <w:rPr>
          <w:b/>
        </w:rPr>
        <w:t>E. 7.3.2.3</w:t>
      </w:r>
    </w:p>
    <w:p>
      <w:r>
        <w:t>Der Verordnungsgeber hat bewusst an einer Überprüfung nach Patentablauf festgehalten (vgl. Kommentar zu den Änderungen der KVV per 1. Oktober 2009), da ein aktueller Wert des Originalpräparats für die Festsetzung der Generikapreise aufgrund der nicht mehr zu berücksichtigenden Kosten für Forschung und Entwicklung bei der Preisfestsetzung wünschenswert sei. Rügen zur inhaltlichen Ausgestaltung des Überprüfungsverfahrens nach Patentablauf vermögen nichts an der Gesetzeskonformität von Art. 65e KVV zu ändern, zumal dem Verordnungsgeber ein weiter Ermessensspielraum für die Regelung auf Verordnungsstufe eingeräumt wurde. Der Verordnungsgeber war sich ausserdem bei der Einführung der Überprüfung nach Patentablauf (damals noch als Art. 65b KVV in der Fassung vom 10. Mai 2006 [AS 2006 1721]) durchaus des Umstands bewusst, dass sich das Preisgefüge in den Referenzländern im Zeitpunkt der Überprüfung allenfalls noch nicht bewegt habe (vgl. Kommentar zur Änderung der KVV im Mai 2006). Diesem Umstand trug der Verordnungsgeber im dem Sinne Rechnung, als er eine Überprüfung zwei Jahre nach Patentablauf vorsah (vgl. Art. 65c KVV [in der Fassung vom 10. Mai 2006, AS 2006 1721]). Diese "Korrekturfunktion" im Nachgang zur Prüfung nach Patentablauf übernimmt heute die periodische dreijährliche Überprüfung gemäss Art. 65d KVV, in deren Zuge auch die Preise von Generika nach Art. 35b Abs. 10 KLV überprüft werden. In diesem Sinne wurde auch die Regelung betreffend die Überprüfung zwei Jahre nach Patentablauf obsolet (E. 7.8).</w:t>
      </w:r>
    </w:p>
    <w:p>
      <w:r>
        <w:rPr>
          <w:b/>
        </w:rPr>
        <w:t>E. 7.4</w:t>
      </w:r>
    </w:p>
    <w:p>
      <w:r>
        <w:t>Auf diese Erwägungen, welche auch für Art. 65e KVV in der vorliegend massgebenden Fassung (E. 3.2 hiervor) Geltung haben, kann vollumfänglich verwiesen werden, da die vorliegende Beschwerde - soweit die entscheidwesentlichen Elemente betreffend - auf denselben Argumenten gründet wie jene im Verfahren C-814/2013. Somit ist der Vorinstanz darin zuzustimmen, dass Art. 65e KVV insbesondere bezweckt, möglichst aktuelle Werte für die Preisbestimmung von Generika zu haben. Insbesondere wird durch Art. 65e KVV das übergeordnete Ziel gemäss Art. 43 Abs. 6 KVG, eine qualitativ hochstehende und zweckmässige Gesundheits­versorgung zu möglichst günstigen Kosten sicherzustellen, nicht vereitelt, im Gegenteil (zum Ganzen vgl. E. 8.1 ff. hiernach). Ein Verstoss gegen übergeordnete Gesetzesbestimmungen, insbesondere gegen Art. 32 Abs. 2 KVG, ist aufgrund des Dargelegten nicht ersichtlich.</w:t>
      </w:r>
    </w:p>
    <w:p>
      <w:r>
        <w:rPr>
          <w:b/>
        </w:rPr>
        <w:t>E. 8</w:t>
      </w:r>
    </w:p>
    <w:p>
      <w:r>
        <w:t>Daher ist im Weiteren zu prüfen, ob die Vorinstanz die umstrittenen Medikamentenpreissenkungen ausschliesslich gestützt auf einen Vergleich mit der Preisgestaltung im Ausland ohne Durchführung eines therapeutischen Quervergleichs verfügen durfte, was von der Beschwerdeführerin im Rahmen ihrer Subsubeventualbegründung bestritten wird.</w:t>
      </w:r>
    </w:p>
    <w:p>
      <w:r>
        <w:rPr>
          <w:b/>
        </w:rPr>
        <w:t>E. 8.1</w:t>
      </w:r>
    </w:p>
    <w:p>
      <w:r>
        <w:t>Im Rahmen des Urteils C-3590/2012 vom 1. September 2015 hatte sich das Bundesverwaltungsgericht bereits mit der vorliegend strittigen Frage auseinanderzusetzen. In seinem Urteil verwies es einleitend auf seinen Grundsatzentscheid BVGE 2015/15 vom 30. April 2015 betreffend die dreijährliche Überprüfung der Aufnahmebedingungen, wonach der TQV ein wesensnotwendiger Bestandteil der Wirtschaftlichkeitsprüfung sei (E. 7.3). Es stellte im Weiteren fest, dass das BAG bei der Wirtschaftlichkeitsbeurteilung nach Patentablauf keinen TQV vornehme. Diese Auslegung von Art. 65e KVV komme in Ziff. F.1.3 des vom BAG herausgegebenen Handbuchs betreffend die Spezialitätenliste vom 1. September 2011 (Stand: 1. Januar 2012) zum Ausdruck, wonach bei der Überprüfung nach Patentablauf ein TQV nur in begründeten Fällen durchgeführt werde (E. 7.4). Einen Ausschluss oder eine Einschränkung der Anwendung des TQV im Rahmen der Wirtschaftlichkeitsprüfung nach Patentablauf sähen indes weder die Bestimmungen der KVV noch der KLV vor. Mangels einer speziellen Regelung und angesichts des Wortlauts von Art. 65e KVV sei die Wirtschaftlichkeit anhand der in allgemeiner Weise in Art. 65b KVV festgelegten und in Art. 34 KLV konkretisierten Kriterien zu beurteilen (E. 7.5). Mithin habe die Wirtschaftlichkeitsprüfung unter Anwendung von APV und TQV zu erfolgen, ausser ein TQV sei im Einzelfall nicht möglich. Gegenteiliges lasse sich weder den Materialien zu Art. 65e KVV entnehmen noch aus dem Sinn und Zweck der Überprüfung nach Patentablauf ableiten (E. 7.6 f.). Im Ergebnis fehle - im Gegensatz zur dreijährlichen Überprüfung (Art. 65d KVV) - eine rechtliche Grundlage für eine eingeschränkte Anwendung des TQV bei der Wirtschaftlichkeitsprüfung nach Patentablauf. Die im SL-Handbuch - bei welchem es sich um eine Verwaltungsverordnung handle - kodifizierte Praxis des BAG sei somit nicht durch eine entsprechende Gesetzes- oder Verordnungsgrundlage gedeckt. Nicht einzugehen sei auf die Frage, ob die per 1. Juni 2015 in Kraft getretene Fassung von Art. 65e Abs. 2 KVV gesetzeskonform sei (E. 7.8). Dasselbe gelte für die Frage, wie der TQV in casu konkret auszugestalten und wie die Vergleichsgruppe zu bestimmen sei. Betreffend TQV sei der Sachverhalt nicht abgeklärt worden, weshalb die Sache an das BAG zur Vornahme einer umfassenden Wirtschaftlichkeitsprüfung zurückzuweisen sei (E. 7.9).</w:t>
      </w:r>
    </w:p>
    <w:p>
      <w:r>
        <w:rPr>
          <w:b/>
        </w:rPr>
        <w:t>E. 8.2</w:t>
      </w:r>
    </w:p>
    <w:p>
      <w:r>
        <w:t>Da gegen dieses Urteil Beschwerde erhoben worden war, hat sich das Bundesgericht ebenfalls eingehend mit der Auslegung des Art. 65e KVV (in der hier massgebenden Fassung) auseinandergesetzt. In seinem zur Publikation vorgesehen Urteil 9C_739/2015 vom 1. Juli 2016 hat es im Wesentlichen Folgendes erkannt:</w:t>
      </w:r>
    </w:p>
    <w:p>
      <w:r>
        <w:rPr>
          <w:b/>
        </w:rPr>
        <w:t>E. 8.2.1</w:t>
      </w:r>
    </w:p>
    <w:p>
      <w:r>
        <w:t>Gemäss Art. 65e KVV hat nach Patentablauf eine Überprüfung der Aufnahmebedingungen zu erfolgen, wobei Letztere in Art. 65 KVV umschrieben werden. Die Aufnahmebedingung der Wirtschaftlichkeit bzw. deren Beurteilung ("im Allgemeinen") wird in Art. 65b KVV (i.V.m. Art. 34 Abs. 2 KLV) geregelt. Diese Bestimmung statuiert als Beurteilungselemente insbesondere den TQV und den APV. Als Abweichung von dieser allgemeinen Wirtschaftlichkeitsbeurteilung sieht Art. 65e KVV (einzig) vor, dass die Kosten für Forschung und Entwicklung nicht mehr berücksichtigt werden. Weitergehende Abweichungen namentlich dergestalt, dass die Wirtschaftlichkeit nur anhand eines APV zu beurteilen wäre, enthält Art. 65e KVV - anders als Art. 65d Abs. 1bis KVV - nicht. Der Wortlaut von Art. 65e KVV (i.V.m. Art. 65 Abs. 3 und Art. 65b KVV) spricht somit für eine umfassende, auch den TQV beinhaltende Wirtschaftlichkeitsbeurteilung (E. 5.2.1). Entstehungsgeschichtlich sind zweierlei Ziele der Überprüfung der Arzneimittel nach Ablauf des Patentschutzes auszumachen. Zum einen das Ziel, die Preise der Arzneimittel unmittelbar nach und wegen dem Ablauf des Patentschutzes zu senken. Zum anderen jenes der Überprüfung der Aufnahmebedingungen (Wirksamkeit, Zweckmässigkeit und Wirtschaftlichkeit) gemäss Art. 32 Abs. 2 KVG. In Bezug auf die dreijährliche Überprüfung der Aufnahmebedingungen (Art. 65d Abs. 1bis KVV; in der von 1. Juni 2013 bis 31. Mai 2015 in Kraft gestandenen Fassung) hat das Bundesgericht in BGE 142 V 26 erkannt, dass diese umfassend zu erfolgen hat, d.h. unter Einschluss einer Kosten-Nutzen-Analyse, wie sie im Rahmen des TQV stattfindet. Denn nur eine umfassende Überprüfung der Kriterien von Art. 32 Abs. 1 KVG ermöglicht es, "überholte Leistungen auszumustern" (oder deren Preise zu senken) bzw. sicherzustellen, dass die im Rahmen der Aufnahme eines Arzneimittels in die SL gestellten Anforderungen während der gesamten Verweildauer auf der SL erfüllt sind. Dies hat auch für die Überprüfung nach Patentablauf zu gelten, weil diese - ebenso wie die dreijährliche Überprüfung - die Zielsetzung von Art. 32 Abs. 2 KVG verfolgt. Mithin steht der Einbezug des TQV im Einklang mit Sinn und Zweck der Überprüfung der Aufnahmebedingungen nach Patentablauf (E. 5.2.2).</w:t>
      </w:r>
    </w:p>
    <w:p>
      <w:r>
        <w:rPr>
          <w:b/>
        </w:rPr>
        <w:t>E. 8.2.2</w:t>
      </w:r>
    </w:p>
    <w:p>
      <w:r>
        <w:t>Eine umfassende Wirtschaftlichkeitsbeurteilung ist auch im Sinne des beschwerdeweise angerufenen Art. 43 Abs. 6 KVG (Ziel der möglichst günstigen Kosten), weil der Einbezug des TQV in der Regel sogar zu einem tieferen Vergleichswert als die alleinige Anwendung des APV führt (E. 5.2.3). Nicht gefolgt werden kann dem Einwand, eine Auslegung im Sinne der Rechtsgleichheit führe zur alleinigen Anwendung des APV. Namentlich ist nicht erkennbar, weshalb eine rechnerische Ausscheidung gewisser preislicher Komponenten der noch patentgeschützten Originalpräparate, die laut Beschwerde einen rechtsgleichen Vergleich verunmöglichten, nicht möglich sein sollte (E. 5.2.4). Zusammenfassend ergibt die Auslegung von Art. 65e KVV, dass nach Ablauf des Patentschutzes grundsätzlich eine umfassende Wirtschaftlichkeitsprüfung - anhand von APV und TQV - durchzuführen ist. Soweit das SL-Handbuch in Ziff. F.1.3 eine Wirtschaftlichkeitsprüfung vor allem anhand eines APV vorsieht, ist es gesetzeswidrig (E. 5.3).</w:t>
      </w:r>
    </w:p>
    <w:p>
      <w:r>
        <w:rPr>
          <w:b/>
        </w:rPr>
        <w:t>E. 8.3</w:t>
      </w:r>
    </w:p>
    <w:p>
      <w:r>
        <w:t>Die hiervor wiedergegebenen Erwägungen des BGer, welche auch für Art. 65e KVV in der vorliegend massgebenden Fassung (E. 3.3 hiervor) uneingeschränkt Geltung haben, sind auch für den vorliegenden Fall beachtlich. Aus der angefochtenen Verfügung und den vorinstanzlichen Akten ist nicht ersichtlich, dass sich die Vorinstanz im Rahmen der zur Beurteilung stehenden Überprüfung der Aufnahmebedingungen nach Patentablauf mit der Frage des TQV beschäftigt hat. Der entscheidwesentliche Sachverhalt wurde diesbezüglich nicht abgeklärt, weshalb die Streitsache vorliegend nicht abschliessend materiell beurteilt werden kann. Die Sache ist daher in Aufhebung der angefochtenen Verfügung an die Vorinstanz zurückzuweisen zur Vornahme einer neuen, umfassenden Wirtschaftlichkeitsprüfung. Nicht zu beurteilen ist, wie der TQV im vorliegenden Fall konkret auszugestalten und wie die Vergleichsgruppe zu bestimmen sein werden.</w:t>
      </w:r>
    </w:p>
    <w:p>
      <w:r>
        <w:rPr>
          <w:b/>
        </w:rPr>
        <w:t>E. 9</w:t>
      </w:r>
    </w:p>
    <w:p>
      <w:r>
        <w:t>Zusammenfassend ergibt sich, dass Art. 65e KVV nicht gegen Bundesrecht verstösst. Weiter ist die im SL-Handbuch kodifizierte Praxis der Vor­instanz, welche beim Patentablauf auf eine Durchführung des TQV verzichtet, nicht durch eine entsprechende Gesetzes- oder Verordnungs­grundlage gedeckt. Da der entscheidwesentliche Sachverhalt bezüglich der Durchführung eines TQV nicht abgeklärt wurde, kann die Streitsache nicht abschliessend materiell beurteilt werden. Bei diesem Ergebnis obsiegt die Beschwerdeführerin zwar nicht in ihren Rechtsbegehren 1 bis 3, jedoch ist die Beschwerde im Sinne ihres Subsubeventualbegehrens (Rechtsbegehren 4) gutzuheissen und die angefochtene Verfügung vom 3. Oktober 2014 aufzuheben sowie die Sache an die Vorinstanz zur Vornahme einer neuen, umfassenden Wirtschaftlichkeitsprüfung unter Einschluss eines APV und TQV zurückzuweisen (Art. 61 Abs. 1 VwVG).</w:t>
      </w:r>
    </w:p>
    <w:p>
      <w:r>
        <w:rPr>
          <w:b/>
        </w:rPr>
        <w:t>E. 10</w:t>
      </w:r>
    </w:p>
    <w:p>
      <w:r>
        <w:t>Zu befinden bleibt noch über die Verfahrenskosten und eine allfällige Parteientschädigung.</w:t>
      </w:r>
    </w:p>
    <w:p>
      <w:r>
        <w:rPr>
          <w:b/>
        </w:rPr>
        <w:t>E. 10.1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10.2</w:t>
      </w:r>
    </w:p>
    <w:p>
      <w:r>
        <w:t>Eine Rückweisung gilt praxisgemäss als Obsiegen der beschwerde­führenden Partei (vgl. BGE 137 V 57 E. 2.1 m.H.), weshalb der obsiegenden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10.3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10.4</w:t>
      </w:r>
    </w:p>
    <w:p>
      <w:r>
        <w:t>Da keine Kostennote eingereicht wurde, ist die Entschädigung auf­grund der Akten festzusetzen (Art. 14 Abs. 2 Satz 2 VGKE). Vorliegend bestand der Aufwand der Beschwerdeführerin im Wesentlichen in der Erstellung der 19-seitigen Beschwerdeschrift vom 5. November 2014 (BVGer-act. 1) und der 12-seitigen Replik vom 17. Juni 2015 (BVGer-act. 16). Unter Berücksichtigung des gebotenen und aktenkundigen Aufwands, der Bedeutung der Streitsache und der Schwierigkeit des vorliegend zu beurteilenden Verfahrens erscheint die Festsetzung einer Parteientschädigung in der Höhe von Fr. 6'000.-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