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C-6475/2008 vom 20. Dezember 2010</w:t>
      </w:r>
    </w:p>
    <w:p>
      <w:r>
        <w:t>Bundesverwaltungsgericht, 2010-12-20, FR</w:t>
      </w:r>
    </w:p>
    <w:p>
      <w:r>
        <w:rPr>
          <w:b/>
        </w:rPr>
        <w:t xml:space="preserve">Quelle: </w:t>
      </w:r>
      <w:r>
        <w:t>https://mcp.opencaselaw.ch/entscheid/bvger_C-6475_2008</w:t>
      </w:r>
    </w:p>
    <w:p>
      <w:r>
        <w:t>FR: TAF C-6475/2008 du 20 décembre 2010</w:t>
      </w:r>
    </w:p>
    <w:p>
      <w:r>
        <w:t>IT: TAF C-6475/2008 del 20 dicembre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TAF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5.1</w:t>
      </w:r>
    </w:p>
    <w:p>
      <w:r>
        <w:t>Dans le cas présent, X._______ a bénéficié d'une rente entière d'invalidité du 1er décembre 1992 au 1er juillet 2001, date à laquelle l'Office AI a supprimé son droit à la rente. Cette décision est définitivement entrée en force suite au jugement du Tribunal fédéral des assurances sociales du 15 juillet 2003 rejetant son recours. Le 23 février 2004, l'intéressé a présenté une nouvelle demande de rente en alléguant une péjoration de son état de santé, laquelle a été écartée par décision de l'Office AI du 31 janvier 2006. Le 11 juillet 2006, X._______ a déposé une troisième demande de prestations depuis le Portugal.</w:t>
      </w:r>
    </w:p>
    <w:p>
      <w:r>
        <w:rPr>
          <w:b/>
        </w:rPr>
        <w:t>E. 5.2</w:t>
      </w:r>
    </w:p>
    <w:p>
      <w:r>
        <w:t>Aux termes de l'art. 87 al. 3 et 4 RAI, lorsque l'autorité examine une nouvelle demande de l'assuré après un premier refus de prestations, elle n'entrera en matière que s'il apparaît établi de façon plausible que l'invalidité, l'impotence ou l'étendue du besoin de soins découlant de l'invalidité de l'assuré s'est modifiée de manière à influencer ses droits. A défaut d'apporter cette preuve préalable au nouvel examen du droit aux prestations, l'affaire est liquidée sans autre examen par une décision de non-entrée en matière sujette à opposition et recours devant le tribunal compétent. On entend ainsi éviter que l'administration ne doive s'occuper continuellement des mêmes cas, soit des cas où la situation n'a pas subi de modification déterminante (ATF 125 V 410 consid. 2b, VSI 2000 242).</w:t>
      </w:r>
    </w:p>
    <w:p>
      <w:r>
        <w:rPr>
          <w:b/>
        </w:rPr>
        <w:t>E. 5.3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nouvelle demande et examine l'affaire au fond; elle vérifie ainsi que la modification du degré d'invalidité rendue, à son sens, plausible par l'assuré est réellement intervenue. Elle doit par conséquent procéder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130 V 71 consid. 3.2.3, 130 V 343 consid. 3.5). En cas de recours, le même devoir de contrôle quant au fond incombe au juge.</w:t>
      </w:r>
    </w:p>
    <w:p>
      <w:r>
        <w:rPr>
          <w:b/>
        </w:rPr>
        <w:t>E. 5.4</w:t>
      </w:r>
    </w:p>
    <w:p>
      <w:r>
        <w:t>X._______ a présenté sa troisième demande de rente le 11 juillet 2006. L'administration n'a pas rendu une décision de refus d'entrer en matière fondée sur l'art. 87 al. 4 RAI, mais elle a examiné la demande sur le fond. La seule question litigieuse en la présente procédure est donc celle de savoir si c'est à juste titre que l'OAIE a rejeté la nouvelle demande du 11 juillet 2006.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Le Tribunal peut toutefois se limiter à examiner si l'invalidité du recourant a subi une modification en comparant les faits tels qu'ils se présentaient à l'époque de la décision du 31 janvier 2006, dernière décision entrée en force ayant examiné matériellement le droit à la rente, et ceux qui ont existé jusqu'au 12 septembre 2008, date de la décision litigieuse.</w:t>
      </w:r>
    </w:p>
    <w:p>
      <w:r>
        <w:rPr>
          <w:b/>
        </w:rPr>
        <w:t>E. 6</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En l'occurrence, le recourant remplit la condition liée à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7.3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Une incapacité de travail de 20 % doit être prise en compte pour le calcul de l'incapacité de travail moyenne selon l'art. 29 al. 1 let. b LAI (Jurisprudence et pratique administrative des autorités d'exécution de l'AVS/AI [Pratique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8.1</w:t>
      </w:r>
    </w:p>
    <w:p>
      <w:r>
        <w:t>La notion d'invalidité, dont il est question à l'art. 8 LPGA et à l'art. 4 LAI est de nature économique/juridique, établissant une incapacité de gain permanente ou probablement de longue durée, et non médicale (ATF 127 V 294 consid. 4b)bb, ATF 116 V 246 consid. 1b; Sozialversicherungsrecht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8.2</w:t>
      </w:r>
    </w:p>
    <w:p>
      <w:r>
        <w:t>Selon la jurisprudence,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9.1</w:t>
      </w:r>
    </w:p>
    <w:p>
      <w:r>
        <w:t>En l'espèce, la décision de l'Office AI du 31 janvier 2006, refusant à X._______ le droit à une rente, s'est essentiellement fondée sur deux expertises de la Clinique romande de réadaptation. La première, établie le 11 juillet 2005 par le Dr O._______ (pce 183), a conclu au niveau psychiatrique que le recourant ne présentait pas de psychopathologie constituant une atteinte à la santé avec valeur incapacitante.La seconde, dressée par le Dr E._______ le 18 août 2005 (pce 184), a retenu comme diagnostic avec une répercussion sur la capacité de travail des lombalgies sur troubles dégénératifs lombaires étagés et statiques, ainsi qu'après hernie discale gauche opérée. Il a en outre retenu comme diagnostics sans répercussion sur la capacité de travail une majoration des symptômes pour raisons non médicales, de l'hypertension, de l'hypercholestérolémie, une consommation excessive d'alcool, une épitrochléite, un hallux valgus bilatéral, un status après cure de hernie inguinale, de l'arthrose cervicale et dorsale diffuse ainsi qu'un possible infarcissement cérébral sans séquelles. Il a également pris en compte l'examen neurologique du Dr N._______ (pce 182) qui n'a démontré aucune pathologie neurogène centrale ou périphérique susceptible de diminuer la capacité de travail de l'assuré. Le Dr E._______ a constaté qu'il n'y avait pas eu de réelle modification de l'état de santé de X._______ par rapport à celui relevé dans l'expertise de 2000. Il a ainsi estimé que les troubles constatés sur le plan physique limitaient le patient pour toute activité lourde. Par contre, dans une activité légère, adaptée, sans port de charge, permettant des changements de position, l'assuré pouvait faire valoir une capacité de 80% au moins.</w:t>
      </w:r>
    </w:p>
    <w:p>
      <w:r>
        <w:rPr>
          <w:b/>
        </w:rPr>
        <w:t>E. 9.2</w:t>
      </w:r>
    </w:p>
    <w:p>
      <w:r>
        <w:t>Dans le cadre de la procédure introduite le 11 juillet 2006 devant l'OAIE, X._______ a produit de nouveaux rapports médicaux (résumés supra let. F et H) tendant à démontrer une détérioration de son état de santé. Le service médical de l'OAIE (Drs U._______ et W._______) a examiné ces documents, et a déduit qu'ils ne mettaient en lumière aucune affection médicale nouvelle depuis les expertises de 2005, dont les conclusions demeuraient valables et auxquelles on pouvait continuer à se référer. Sur cette base, l'OAIE a, par décision du 12 septembre 2008, refusé au recourant le droit à une rente, retenant que son état de santé n'avait pas connu de modification depuis la décision du 31 janvier 2006. Au stade du recours, le Tribunal observe que X._______ ne conteste pas être en mesure d'exercer à 80% une activité lucrative qui tienne compte de ses limitations fonctionnelles, tel que l'OAIE l'a mentionné au sein de la décision querellée. Il n'y a dès lors pas lieu de revenir sur cette question. En revanche, le recourant s'oppose au degré d'invalidité fixé sur cette base, singulièrement la détermination du revenu avec invalidité (infra consid. 10).</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 (arrêt du TAF C-934/2009 du 2 septembre 2010 consid. 12.3).</w:t>
      </w:r>
    </w:p>
    <w:p>
      <w:r>
        <w:rPr>
          <w:b/>
        </w:rPr>
        <w:t>E. 10.4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le recourant critique la méthode de calcul utilisée pour déterminer son taux d'invalidité. Plus particulièrement, il considère que le salaire avec invalidité appliqué par l'OAIE est trop élevé. Selon lui, un employeur préférera engager un jeune ouvrier, dont le coût du salaire est inférieur, plutôt qu'un employé plus âgé présentant une invalidité partielle. Il est également d'avis que pour un invalide, l'OAIE ne devrait pas appliquer les valeurs médianes figurant dans l'ESS, mais retenir des salaires se situant dans un décile inférieur. Enfin, il préconise que soit pris en compte dans le calcul du revenu d'invalide le salaire régional, non le salaire national.</w:t>
      </w:r>
    </w:p>
    <w:p>
      <w:r>
        <w:rPr>
          <w:b/>
        </w:rPr>
        <w:t>E. 11.2</w:t>
      </w:r>
    </w:p>
    <w:p>
      <w:r>
        <w:t>Le recourant cite une liste de critères qu'il souhaite voir appliquer dans la détermination du revenu d'invalide. En d'autres termes, il requiert un changement de méthode qui fasse application de valeurs plus favorables à la personne invalide. Toutefois, le Tribunal se doit de remarquer que certains des aménagements proposés sont peu opportuns. Le recourant entend notamment comparer un revenu hypothétique de personne valide établi au niveau national avec un salaire d'invalide calculé sur un plan régional. Cela revient à fausser les termes du rapport puisque les deux valeurs statistiques à mettre en balance proviendraient de sources différentes. Surtout, le Tribunal fédéral a clairement exposé que des statistiques régionales ne pouvaient aucunement être prises en considération dans l'évaluation de la perte de gain, seules les statistiques nationales pouvant être utilisées pour un tel calcul (arrêts du Tribunal fédéral I 404/05 du 22 août 2006 consid. 3.2.3). La Haute Cour a notamment exposé que l'assuré n'était pas lié à une région particulière de Suisse pour exploiter sa capacité de travail résiduelle (arrêt du Tribunal fédéral 8C_610/2007 du 15 mai 2008 consid. 5.1). C'est d'autant plus vrai pour le recourant, qui réside désormais au Portugal, et qui dans le cadre d'un hypothétique retour en Suisse, ne serait nullement contraint de s'établir dans le canton de Fribourg ou dans l'espace Mittelland, où il avait travaillé auparavant.Sur un autre plan, le recourant relève qu'une personne présentant une invalidité se verra proposer des salaires inférieurs à la norme, de sorte qu'il faut sélectionner, pour le salaire d'invalide, les revenus compris dans le décile le plus faible d'un secteur d'activité. Cependant, le Tribunal note que ce facteur est déjà pris en considération dans le système actuel. En effet, si le recours aux salaires de l'ESS ne permet pas une appréciation très fine en fonction des groupes de professions particuliers ou des régions de travail, la jurisprudence permet de réduire le revenu hypothétique d'invalide, tel qu'il résulte des statistiques, afin de tenir compte du fait que les possibilités pour l'assuré de réaliser un gain qui se situe dans la moyenne sont forcément diminuées. La mesure de cette réduction - qui est de maximum 25 % - dépend de l'ensemble des circonstances personnelles et professionnelles du cas particulier, telles les limitations dues au handicap, l'âge, le nombre d'années de service, la nationalité ou la catégorie d'autorisation de séjour et le taux d'occupation (ATF 126 V 75 consid. 5b/aa-cc p. 79; arrêt du Tribunal fédéral 9C_384/2008 du 9 octobre 2008 consid. 3.2). La proposition du recourant reviendrait donc à appliquer à deux reprises lors du calcul un même facteur de pondération, une option qui ne saurait être suivie. Le Tribunal ne voit dès lors aucune raison de s'écarter d'une jurisprudence constante (ATF 126 V 75 consid. 3b/aa et bb p. 76 et les arrêts cités) selon laquelle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w:t>
      </w:r>
    </w:p>
    <w:p>
      <w:r>
        <w:rPr>
          <w:b/>
        </w:rPr>
        <w:t>E. 12.1</w:t>
      </w:r>
    </w:p>
    <w:p>
      <w:r>
        <w:t>In casu, le recourant a cessé de travailler en 1992. Il n'a pas repris un emploi suite à la suppression de sa rente entière d'invalidité en juillet 2001. Compte tenu de cette longue période d'inactivité, c'est à juste titre que l'OAIE s'est référé aux données statistiques pour le calcul du revenu de valide. Quand bien même l'OAIE a retenu comme déterminante l'année 2006, alors que sa décision étant datée du 12 septembre 2008, ce sont les tabelles de cette dernière année qui aurait dû être préférée, le résultat final ne s'en trouve pas modifié.</w:t>
      </w:r>
    </w:p>
    <w:p>
      <w:r>
        <w:rPr>
          <w:b/>
        </w:rPr>
        <w:t>E. 12.2</w:t>
      </w:r>
    </w:p>
    <w:p>
      <w:r>
        <w:t>Pour fixer le revenu sans invalidité, il faut se baser sur le salaire d'un ouvrier qualifié actif dans la construction. Selon l'ESS 2008, table TA1, niveau de qualification 3, il en résulte un salaire mensuel de Fr. 5'602.-- pour 40h/sem. et de Fr. 5'826.10 pour 41.6h/sem. selon le temps de travail hebdomadaire dans ce secteur (Office fédéral de la statistique, Statistique de la durée normale du travail dans les entreprises [DNT]). Les activités de substitution entrant en ligne de compte doivent être classées dans les activités légères comparables à des activités simples et répétitives. Pour une personne qui, à l'instar du recourant, avait travaillé auparavant dans la construction, il est correct de retenir qu'il pourrait désormais exercer comme travailleur non qualifié dans le secteur de la production en général, lequel regroupe notamment l'industrie ou la fabrication. Ces branches économiques comprennent un large éventail d'activités respectant les limitations fonctionnelles du recourant. C'est également sur ce secteur que l'Office AI du canton de Fribourg avait fondé son calcul dans sa décision du 31 janvier 2006. Partant, il n'y pas lieu de s'éloigner de ce choix, d'autant que l'état de santé de X._______ n'a pas évolué depuis cette date et que les restrictions physiques qu'il doit respecter dans l'exercice d'une activité de substitution sont restées identiques. Il faut dont retenir, toujours selon l'ESS 2008 table TA1, pour un homme de niveau de qualification 4 dans la production (10-45), un salaire mensuel de Fr. 5'137.-- pour 40h/sem., ou Fr. 5'303.95 pour 41.3h/sem. Cela correspond, à un taux d'occupation de 80%, à Fr. 4'243.15. Compte tenu de l'âge de l'assuré au jour de la décision querellée (53 ans) et du fait qu'il ne peut reprendre que partiellement l'exercice d'une activité lucrative, il se justifie d'opérer une réduction du salaire d'invalide de 15%, l'abattement maximal admis par la jurisprudence étant de 25% (ATF 126 V 75). Le revenu d'invalide de X._______ se monte ainsi à Fr. 3'606.70.</w:t>
      </w:r>
    </w:p>
    <w:p>
      <w:r>
        <w:rPr>
          <w:b/>
        </w:rPr>
        <w:t>E. 12.3</w:t>
      </w:r>
    </w:p>
    <w:p>
      <w:r>
        <w:t>La comparaison du revenu sans invalidité de Fr. 5'826.10 au revenu d'invalide de Fr. 3'606.70 fait apparaître un préjudice économique de 38.09%, arrondi à 38% (ATF 130 V 121 consid. 3.2), soit un résultat identique à celui du calcul effectué par l'OAIE sur la base des chiffres de 2006. Le taux obtenu étant inférieur au seuil de 40%, il est insuffisant pour l'octroi d'un quart de rente.</w:t>
      </w:r>
    </w:p>
    <w:p>
      <w:r>
        <w:rPr>
          <w:b/>
        </w:rPr>
        <w:t>E. 13</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Il convient de souligner que ni l'âge, ni la situation familiale ou économique, en particulier un marché de l'emploi local restreint ou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Jurisprudence et pratique administrative des autorités d'exécution de l'AVS/AI (VSI) 1999 p. 247 consid. 1, 1998 p. 296 consid. 3b). Au vu de ce qui précède, le recours doit être rejeté et la décision de l'OAIE du 12 septembre 2008 confirmée.</w:t>
      </w:r>
    </w:p>
    <w:p>
      <w:r>
        <w:rPr>
          <w:b/>
        </w:rPr>
        <w:t>E. 14.1</w:t>
      </w:r>
    </w:p>
    <w:p>
      <w:r>
        <w:t>Par écrit du 25 juillet 2008, formulé dans le cadre de la procédure d'opposition, puis par mémoire complémentaire du 20 août 2008, X._______ a demandé à être mis au bénéfice de l'assistance judiciaire gratuite à partir du 18 [recte: 13] juin 2008, date de réception d'une communication de l'OAIE (droit d'être entendu sur la comparaison des revenus, AI pce 231). Sa requête a été écartée par décision de l'OAIE du 9 septembre 2008, que l'intéressé conteste dans son recours du 13 octobre 2008.</w:t>
      </w:r>
    </w:p>
    <w:p>
      <w:r>
        <w:rPr>
          <w:b/>
        </w:rPr>
        <w:t>E. 14.2</w:t>
      </w:r>
    </w:p>
    <w:p>
      <w:r>
        <w:t>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p. 155; Ueli Kieser, ATSG-Kommentar: Kommentar zum Bundesgesetz über den Allgemeinen Teil des Sozialversicherungsrecht vom 6. Oktober 2000, Zurich 2003, n. 22 ad art. 37).</w:t>
      </w:r>
    </w:p>
    <w:p>
      <w:r>
        <w:rPr>
          <w:b/>
        </w:rPr>
        <w:t>E. 14.3</w:t>
      </w:r>
    </w:p>
    <w:p>
      <w:r>
        <w:t>Les conditions d'octroi de l'assistance judiciaire gratuite sont en principe réalisées si les conclusions ne paraissent pas vouées à l'échec, si le requérant est dans le besoin et si l'assistance d'un avocat est nécessaire ou du moins indiquée (ATF 125 V 201 consid. 4a p. 202, 371 consid. 5b p. 372 et les références). La condition de l'indigence est réalisée si la personne concernée ne peut assumer les frais du procès sans entamer les moyens nécessaires à son entretien et à celui de sa famille (ATF 128 I 225 consid. 2.5.1 p. 232, 127 I 202 consid. 3b p. 205 et les arrêts cités). Pour déterminer l'indigence, il y a lieu de tenir compte de la situation financière du requérant dans son ensemble, soit d'une part de ses charges et, d'autre part, de ses ressources effectives ainsi que de sa fortune.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p. 47, 98 V 115 consid. 3a p. 118; cf. aussi ATF 130 I 180 consid. 2.2 p. 182, 128 I 225 consid. 2.5.2 p. 232 et les références; arrêt du Tribunal fédéral 8C_297/2008 du 23 septembre 2008 consid. 3.2).Ces conditions sont applicables à l'octroi de l'assistance gratuite d'un conseil juridique dans la procédure d'opposition (arrêt M. du 29 novembre 2004, I 557/04, consid. 2.1, publié à la Revue de l'avocat 2005 n. 3 p. 123). Toutefois, le point de savoir si elles sont réalisées doit être examiné à l'aune de critères plus sévères dans la procédure administrative (Kieser, op. cit., n. 20 ad art. 37).</w:t>
      </w:r>
    </w:p>
    <w:p>
      <w:r>
        <w:rPr>
          <w:b/>
        </w:rPr>
        <w:t>E. 14.4</w:t>
      </w:r>
    </w:p>
    <w:p>
      <w:r>
        <w:t>Dans le cas présent, X._______ a principalement soutenu que son fils, qui lui avait accordé un prêt pour mener la procédure d'opposition, n'était plus en mesure de poursuivre son aide financière. Le recourant a ajouté qu'il ne disposait pas personnellement des moyens nécessaires pour honorer son avocat. Il a également jugé nécessaire d'avoir recours à un mandataire spécialisé pour contester le projet de décision du 25 mars 2008. Au cours de la procédure de recours, X._______ a été invité à produire des documents attestant son absence de ressources suffisantes. Ces pièces ont été versées au dossier le 13 mars 2009. Par décision incidente du 14 avril 2009, le Tribunal a procédé à une analyse détaillée des charges et des revenus du recourant. Il est arrivé à la conclusion que ce dernier disposait chaque mois d'un solde de Fr. 1'049.-, respectivement Fr. 1'471.-- si son épouse percevait un 13ème salaire, soit un montant suffisant pour nier l'indigence. Au surplus, le Tribunal a mentionné que l'intéressé était en mesure de solliciter un crédit garanti par son immeuble pour soutenir sa procédure de recours (TAF pce 7).Dans la mesure où les moyens de preuve fournis au stade du recours sont postérieurs au 13 juin 2008, ils reflètent avec suffisamment de pertinence les ressources réelles de l'intéressé après que son fils eut cessé de lui apporter son soutien. Les considérations énoncées dans le cadre de la décision incidente du 14 avril 2009 peuvent donc être reprises mutatis mutandis en ce qui concerne l'assistance juridique devant l'autorité intimée, le recourant n'ayant nullement allégué une modification importante de sa situation financière entre le 13 juin 2008 et le 13 mars 2009 (date du dépôt des moyens de preuve). X._______ ne saurait dès lors être considéré comme indigent. Par surabondance, le Tribunal note encore que, suite au projet de décision du 25 mars 2008, le recourant a uniquement contesté le degré d'invalidité retenu par l'OAIE. Or, ce taux repose sur des notions statistiques ainsi qu'un calcul mathématique courant dans le cadre d'une procédure AI, lesquels pouvaient lui être expliqués sans qu'il soit nécessaire, pour cela, de disposer de connaissances juridiques pointues. Pour ce motif, le recours a un avocat ne s'imposait pas non plus. Partant, c'est à bon droit que, par décision du 9 septembre 2008, l'OAIE a rejeté l'assistance juridique gratuite.</w:t>
      </w:r>
    </w:p>
    <w:p>
      <w:r>
        <w:rPr>
          <w:b/>
        </w:rPr>
        <w:t>E. 14.5</w:t>
      </w:r>
    </w:p>
    <w:p>
      <w:r>
        <w:t>Par ailleurs, le recourant ne bénéficiant pas de l'assistance judiciaire au stade du recours (cf. décision incidente du TAF du 14 avril 2009), les frais de procédure, fixés à Fr. 300.--, sont mis à sa charge (art. 63 al. 1 PA, applicable par le truchement de l'art. 37 LTAF). Ils sont compensés par l'avance de frais dont il s'est acquitté au cours de l'instruction.Vu l'issue du litige, il n'est pas alloué de dépens (art.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