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C-6471/2012 vom 24. Januar 2014</w:t>
      </w:r>
    </w:p>
    <w:p>
      <w:r>
        <w:t>Bundesverwaltungsgericht, 2014-01-24, FR</w:t>
      </w:r>
    </w:p>
    <w:p>
      <w:r>
        <w:rPr>
          <w:b/>
        </w:rPr>
        <w:t xml:space="preserve">Quelle: </w:t>
      </w:r>
      <w:r>
        <w:t>https://mcp.opencaselaw.ch/entscheid/bvger_C-6471_2012</w:t>
      </w:r>
    </w:p>
    <w:p>
      <w:r>
        <w:t>FR: TAF C-6471/2012 du 24 janvier 2014</w:t>
      </w:r>
    </w:p>
    <w:p>
      <w:r>
        <w:t>IT: TAF C-6471/2012 del 24 gennaio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1.3</w:t>
      </w:r>
    </w:p>
    <w:p>
      <w:r>
        <w:t>A moins que la LTAF n'en dispose autrement, la procédure devant le TAF est régie par la PA (cf. art. 37 LTAF).</w:t>
      </w:r>
    </w:p>
    <w:p>
      <w:r>
        <w:rPr>
          <w:b/>
        </w:rPr>
        <w:t>E. 1.4</w:t>
      </w:r>
    </w:p>
    <w:p>
      <w:r>
        <w:t>Les intéressées ont qualité pour recourir (cf. art. 48 al. 1 PA). Présenté dans la forme et les délais prescrits par la loi, le recours est recevable (cf. art. 50 al. 1 et 52 al. 1 PA).</w:t>
      </w:r>
    </w:p>
    <w:p>
      <w:r>
        <w:rPr>
          <w:b/>
        </w:rPr>
        <w:t>E. 2</w:t>
      </w:r>
    </w:p>
    <w:p>
      <w:r>
        <w:t>Il est possible d'invoquer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(ATAF 2012/21 consid. 5.1 p. 414 s. ATAF 2011/43 consid. 6.1 p. 886, ATAF 2011/1 consid. 2 p. 4).</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 Alain Wurzburger, La jurisprudence récente du Tribunal fédéral en matière de police des étrangers, Revue de droit administratif et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 voir aussi ATF 135 II 1 consid. 1.1 p. 4 et ATAF 2009/27 consid. 3 p. 342, et jurisp. cit.).</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90 jours,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 1-32]), dont l'art. 5 a été modifié par le Règlement (UE) n° 265/2010 du Parlement européen et du Conseil du 25 mars 2010 modifiant la convention d'application de l'accord de Schengen et le Règlement (CE) n° 562/2006 en ce qui concerne la circulation des personnes titulaires d'un visa de long séjour (JO L 85 du 31 mars 2010). Les conditions d'entrée ainsi prévues correspondent, pour l'essentiel, à celles posées à l'art. 5 LEtr (cf. ATAF 2009/27 précité, consid. 5.1 et 5.2 p. 343 s.). Cela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(pour plus de les détails de cette question, cf. ATAF 2009/27 précité, consid. 5.2 et 5.3 p. 344).</w:t>
      </w:r>
    </w:p>
    <w:p>
      <w:r>
        <w:rPr>
          <w:b/>
        </w:rPr>
        <w:t>E. 4.2</w:t>
      </w:r>
    </w:p>
    <w:p>
      <w:r>
        <w:t>Si les conditions mises à l'octroi d'un visa uniforme pour l'Espace Schengen ne sont pas remplies, un Etat membre peut, à titre exceptionnel, délivrer un visa à validité territoriale limitée (ci-après : visa VTL) notamment pour des motifs humanitaires ou d'intérêt national ou en raison d'obligations internationales (cf. art. 25 par. 1 let. a du code des visas et art. 5 par. 4 let. c du code frontières Schengen).</w:t>
      </w:r>
    </w:p>
    <w:p>
      <w:r>
        <w:rPr>
          <w:b/>
        </w:rPr>
        <w:t>E. 5</w:t>
      </w:r>
    </w:p>
    <w:p>
      <w:r>
        <w:t>Le Règlement (CE) n° 539/2001 du Conseil du 15 mars 2001 (JO L 81 du 21 mars 2001, p. 1-7) différencie, en son art. 1 par. 1 et 2, les ressortissants des Etats tiers selon qu'ils sont soumis ou non à l'obligation du visa. En tant que ressortissante du Maroc, A._______ est soumise à l'obligation du visa.</w:t>
      </w:r>
    </w:p>
    <w:p>
      <w:r>
        <w:rPr>
          <w:b/>
        </w:rPr>
        <w:t>E. 6</w:t>
      </w:r>
    </w:p>
    <w:p>
      <w:r>
        <w:t>In casu, le Tribunal ne saurait d'emblée écarter les craintes émises par l'autorité intimée, du fait notamment de la situation qui prévaut au Maroc sur le plan social et économique. Il convient en effet de prendre en considération la qualité de vie et les conditions économiques et sociales difficiles que connaît l'ensemble de la population du Maroc. S'agissant de la situation économique, le Tribunal constate que le produit intérieur brut (PIB) par habitant en 2012 s'élevait à environ 3'000 dollars américains (USD) pour le Maroc et à environ 79'000 USD pour la Suisse (voir le site internet du Fonds monétaire international : www.imf.org &gt; Data and Statistics &gt; World Economic Outlook Databases (WEO) &gt; World Economic Outlook Databases October 2013 &gt; By Countries (country-level data) &gt; All countries, consulté en janvier 2014). Malgré les réformes du gouvernement initiées ces dernières années pour lutter contre la pauvreté et le sous-emploi, l'économie marocaine reste fragile et tributaire des résultats agricoles ainsi que de la demande mondiale (cf. Ministère français des affaires étrangères, France Diplomatie, http://www.diplomatie.gouv.fr, Présentation du Maroc &gt; Données générales, consulté en janvier 2014). Du point de vue social, l'indice de développement humain (IDH) 2012, qui prend en compte la santé, l'éducation et le niveau de vie, classe le Maroc en 130ème position sur 186 pays, la Suisse occupant le neuvième rang pour la même année (voir le site internet des rapports sur le développement humain du Programme des Nations Unies pour le développement [HDR UNDP] : http://hdr.undp.org/ &gt; Human Development Report 2013, consulté en janvier 2014).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tel est précisément le cas en l'espèce.</w:t>
      </w:r>
    </w:p>
    <w:p>
      <w:r>
        <w:rPr>
          <w:b/>
        </w:rPr>
        <w:t>E. 7</w:t>
      </w:r>
    </w:p>
    <w:p>
      <w:r>
        <w:t>Cela dit, l'autorité ne saurait retenir la seule situation prévalant dans le pays de provenance de l'étranger pour conclure à la non-garantie de sa sortie ponctuelle de Suisse, mais doit également prendre en compte les particularités du cas d'espèce (cf. ATAF 2009/27 précité, consid. 7 et 8 p. 345). Lorsque la personne invitée assume d'importantes responsabilités dans son pays d'origine, au plan professionnel, familial et/ou social, un pronostic favorable pourra, suivant les circonstances, être émis sur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aussi arrêt du Tribunal administratif fédéral C-4852/2011 du 20 mars 2013 consid. 6.2, et les autres arrêts qui y sont cités).</w:t>
      </w:r>
    </w:p>
    <w:p>
      <w:r>
        <w:rPr>
          <w:b/>
        </w:rPr>
        <w:t>E. 7.1</w:t>
      </w:r>
    </w:p>
    <w:p>
      <w:r>
        <w:t>De manière générale, l'on ne saurait déduire sans autre du dépôt antérieur d'une demande d'autorisation de séjour de courte durée peu avant l'expiration d'un précédent visa le risque que, après être rentré dans son pays d'origine, le bénéficiaire d'un nouveau visa ne quitte une fois encore pas la Suisse pour des motifs identiques à ceux déjà invoqués. A teneur du dossier, pareil risque n'existe pas, dans la mesure où le besoin d'une aide accrue de la fille de A._______ n'apparaît plus d'actualité.</w:t>
      </w:r>
    </w:p>
    <w:p>
      <w:r>
        <w:rPr>
          <w:b/>
        </w:rPr>
        <w:t>E. 7.2</w:t>
      </w:r>
    </w:p>
    <w:p>
      <w:r>
        <w:t>Malgré ce qui précède et le fait que la recourante dispose d'un réseau familial au Maroc - allégation qui paraît vraisemblable au vu du dossier et qui n'a du reste pas mise en doute par l'ODM - la garantie de son retour dans cet Etat n'est pas garantie. En effet, il ressort du dossier que A._______ est veuve et sans activité professionnelle. En outre, elle n'a pas d'autres sources importantes de revenus ni de fortune conséquente susceptibles de l'inciter à regagner son pays d'origine au terme de son séjour ; au vu du dossier, elle est entretenue par ses fils qui vivent au Maroc (cf. let. L des faits et le formulaire "Demande d'assistance judiciaire" produit le 11 février 2013). A cela s'ajoute que la recourante est actuellement âgée de 8X ans et demi et se trouve dans une tranche d'âge susceptible de nécessiter des soins médicaux à tout moment. Or, bien que l'ODM ait expressément retenu cet aspect dans la décision attaquée, les recourantes n'ont jamais allégué dans les différents actes produits dans le cadre de la présente procédure que A._______ était en bonne santé - ou à le moins ne souffrait d'aucune affection notable - ni produit un certificat médical relatif à son état de santé actuel. A cet égard, la conclusion d'une assurance-maladie ne suffit en elle-même pas à garantir le retour de la recourante.</w:t>
      </w:r>
    </w:p>
    <w:p>
      <w:r>
        <w:rPr>
          <w:b/>
        </w:rPr>
        <w:t>E. 7.3</w:t>
      </w:r>
    </w:p>
    <w:p>
      <w:r>
        <w:t>Enfin, le fait que celle-ci est déjà venue en Suisse à trois reprises et est à chaque fois retournée dans sa patrie à l'issue de ses séjours ne saurait modifier l'appréciation du Tribunal. Chaque demande de visa fait l'objet d'un examen spécifique actualisé qui tient à la fois compte de la situation personnelle du requérant et de celle prévalant dans son Etat d'origine au moment de statuer. Situation qui est toujours susceptible d'évoluer au gré des événements.</w:t>
      </w:r>
    </w:p>
    <w:p>
      <w:r>
        <w:rPr>
          <w:b/>
        </w:rPr>
        <w:t>E. 8</w:t>
      </w:r>
    </w:p>
    <w:p>
      <w:r>
        <w:t>Par ailleurs, les recourantes n'ont pas invoqué de raisons susceptibles de justifier la délivrance d'un visa à validité territoriale limitée (cf. consid. 4.2 ci-avant et 10 ci-après).</w:t>
      </w:r>
    </w:p>
    <w:p>
      <w:r>
        <w:rPr>
          <w:b/>
        </w:rPr>
        <w:t>E. 9</w:t>
      </w:r>
    </w:p>
    <w:p>
      <w:r>
        <w:t>Au vu de ce qui précède, le retour de A._______ au Maroc n'apparaît pas suffisamment assuré. La prénommée serait à même de se créer une nouvelle existence hors de sa patrie, sans que cela n'entraîne pour elle des difficultés majeures sur le plan personnel, social ou familial.</w:t>
      </w:r>
    </w:p>
    <w:p>
      <w:r>
        <w:rPr>
          <w:b/>
        </w:rPr>
        <w:t>E. 10</w:t>
      </w:r>
    </w:p>
    <w:p>
      <w:r>
        <w:t>Enfin, le refus d'autorisation d'entrée prononcé à l'endroit de A._______ ne constitue pas davantage une ingérence inadmissible dans l'exercice du droit au respect de la vie privée et familiale consacré par l'art. 8 CEDH. La protection conférée par la disposition susmentionnée vise avant tout les relations familiales au sens étroit, soit les relations entre époux et les relations entre parents et enfants mineurs vivant en ménage commun (famille dite "nucléaire" [cf. notamment ATF 137 I 113 consid. 6.1 et jurisprudence citée; voir également l'ATAF 2007/45 consid. 5.3]), le cercle des bénéficiaires de cette disposition ne se limite cependant pas à ces seules personnes mais protège d'autres liens de parenté, soit par exemple les relations entre grands-parents et petits-enfants, entre oncles/tantes et neveux/nièces, pour autant que ces personnes entretiennent une relation suffisamment étroite, intacte et réellement vécue (cf. ATF 135 I 143 consid. 3.1, 120 Ib 257 consid. 1d ; cf. aussi les arrêts du Tribunal fédéral 2C_50/2012 du 28 septembre 2012 consid. 5.3 et 2C_56/2012 du 24 septembre 2012 consid. 5.4.1, ainsi que l'arrêt du Tribunal administratif fédéral C-4852/2011 précité, consid. 7.2.1 et les références citées). Cela étant, il n'y a pas atteinte à la vie familiale si l'on peut attendre des membres de la famille qu'ils réalisent leur vie de famille à l'étranger (cf. notamment ATF 135 I 153 consid. 2.1 et 135 I 143 consid. 2.2; voir également l'ATAF 2011/48 consid. 6.3.1). Dès lors, une violation de cette norme ne peut en principe être admise que si les membres d'une même famille n'ont - durablement ou, à tout le moins, pendant une période prolongée - aucune possibilité de se rencontrer dans un pays autre que la Suisse (cf. à ce sujet l'arrêt du Tribunal administratif fédéral C-4852/2011 précité, ibid., et les références citées). En l'occurrence, rien ne permet de penser que les intéressés se trouveraient durablement dans l'impossibilité de se rencontrer ailleurs qu'en Suisse, en particulier au Maroc, le financement et l'organisation d'un tel voyage ne paraissant pas insurmontables malgré la situation financière des recourantes (cf. à ce sujet notamment les pièces produites le 11 février 2013 [let. I des faits]). A cela s'ajoute que les contacts peuvent également être maintenus par d'autres moyens tels que la communication téléphonique, les visioconférences et la correspondance, malgré les inconvénients d'ordre pratique ou de convenance personnelle.</w:t>
      </w:r>
    </w:p>
    <w:p>
      <w:r>
        <w:rPr>
          <w:b/>
        </w:rPr>
        <w:t>E. 11</w:t>
      </w:r>
    </w:p>
    <w:p>
      <w:r>
        <w:t>Il appert ainsi que la décision de l'ODM ne saurait être qualifiée d'arbitraire. Par son prononcé du 14 novembre 2012, l'ODM n'a ni violé le droit fédéral, ni constaté des faits pertinents de manière inexacte ou incomplète, ni adopté une solution inopportune (art. 49 PA).</w:t>
      </w:r>
    </w:p>
    <w:p>
      <w:r>
        <w:rPr>
          <w:b/>
        </w:rPr>
        <w:t>E. 12</w:t>
      </w:r>
    </w:p>
    <w:p>
      <w:r>
        <w:t>En conséquence, le recours est rejeté.</w:t>
      </w:r>
    </w:p>
    <w:p>
      <w:r>
        <w:rPr>
          <w:b/>
        </w:rPr>
        <w:t>E. 13</w:t>
      </w:r>
    </w:p>
    <w:p>
      <w:r>
        <w:t>Vu l'issue de la cause, il y aurait lieu de mettre les frais de procédure à la charge des recourantes, conformément à l'art. 63 al. 1 PA en relation avec l'art. 1 et l'art. 3 du règlement du 21 février 2008 concernant les frais, dépens et indemnités fixés par le Tribunal administratif fédéral (FITAF, RS 173.320.2). Celles-ci ayant toutefois été mises au bénéfice de l'assistance judiciaire partielle, il y a dès lors lieu de statuer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