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C-6465/2018 vom 18. Februar 2020</w:t>
      </w:r>
    </w:p>
    <w:p>
      <w:r>
        <w:t>Bundesverwaltungsgericht, 2020-02-18, DE</w:t>
      </w:r>
    </w:p>
    <w:p>
      <w:r>
        <w:rPr>
          <w:b/>
        </w:rPr>
        <w:t xml:space="preserve">Quelle: </w:t>
      </w:r>
      <w:r>
        <w:t>https://mcp.opencaselaw.ch/entscheid/bvger_C-6465_2018</w:t>
      </w:r>
    </w:p>
    <w:p>
      <w:r>
        <w:t>FR: TAF C-6465/2018 du 18 février 2020</w:t>
      </w:r>
    </w:p>
    <w:p>
      <w:r>
        <w:t>IT: TAF C-6465/2018 del 18 febbraio 2020</w:t>
      </w:r>
    </w:p>
    <w:p>
      <w:pPr>
        <w:pStyle w:val="Heading2"/>
      </w:pPr>
      <w:r>
        <w:t>Regeste</w:t>
      </w:r>
    </w:p>
    <w:p>
      <w:r>
        <w:t>Zuteilung zu den Prämientarifen</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ist in Art. 109 Bst. b UVG (SR 832.20) ausdrücklich geregelt und vorliegend gegeben.</w:t>
      </w:r>
    </w:p>
    <w:p>
      <w:r>
        <w:rPr>
          <w:b/>
        </w:rPr>
        <w:t>E. 1.2</w:t>
      </w:r>
    </w:p>
    <w:p>
      <w:r>
        <w:t>Das Verfahren vor dem Bundesverwaltungsgericht richtet sich nach dem VwVG, soweit das Verwaltungsgerichtsgesetz nichts anderes bestimmt (Art. 37 VGG). Vorbehalten bleiben gemäss Art. 3 Bst. dbis VwVG die besonderen Bestimmungen des ATSG (SR 830.1).</w:t>
      </w:r>
    </w:p>
    <w:p>
      <w:r>
        <w:rPr>
          <w:b/>
        </w:rPr>
        <w:t>E. 1.3</w:t>
      </w:r>
    </w:p>
    <w:p>
      <w:r>
        <w:t>Anfechtungs- und Streitgegenstand bildet der Einspracheentscheid der Suva vom 19. Oktober 2018 betreffend die Einreihung in den Prämientarif ab 1. Januar 2019.</w:t>
      </w:r>
    </w:p>
    <w:p>
      <w:r>
        <w:rPr>
          <w:b/>
        </w:rPr>
        <w:t>E. 1.3.1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BGE 133 II 35 E. 3 mit Hinweisen; siehe zum Ganzen auch Yvo Hangartner, Behördenrechtliche Kognitionsbeschränkungen in der Verwaltungsrechtspflege, in: Bovay/Nguyen [Hrsg.], Mélanges en l'honneur de Pierre Moor, Bern 2005, S. 319 ff.; Reto Feller/Markus 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1.3.2</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 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BV)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Bundesgerichts [BGer] U 240/03 vom 2. Juni 2004, E. 3.2.2). Eine Tarifposition darf deshalb nicht losgelöst von den übrigen Tarifbestimmungen gewürdigt werden, sondern ist im Gesamtzusammenhang zu beurteilen (BVGE 2007/27 E. 3.2; Urteil der Eidgenössischen Rekurskommission für die Unfallversicherung [im Folgenden: Rekurskommission] vom 13. Dezember 2004, publiziert in VPB 69.73, E. 3).</w:t>
      </w:r>
    </w:p>
    <w:p>
      <w:r>
        <w:rPr>
          <w:b/>
        </w:rPr>
        <w:t>E. 1.3.3</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1.4</w:t>
      </w:r>
    </w:p>
    <w:p>
      <w:r>
        <w:t>Die Beschwerde wurde frist- und formgerecht eingereicht (vgl. Art. 38 ff. und Art. 60 ATSG, Art. 52 VwVG). Als Adressat des Einspracheentscheides ist der Beschwerdeführer durch die angefochtene Verfügung berührt und hat ein schutzwürdiges Interesse an deren Aufhebung oder Abänderung (Art. 59 ATSG, Art. 48 Abs. 1 VwVG). Nachdem auch der Kostenvorschuss fristgerecht geleistet wurde, ist auf die Beschwerde einzutreten.</w:t>
      </w:r>
    </w:p>
    <w:p>
      <w:r>
        <w:rPr>
          <w:b/>
        </w:rPr>
        <w:t>E. 2</w:t>
      </w:r>
    </w:p>
    <w:p>
      <w:r>
        <w:t>Zunächst sind die für die Einreihung von Betrieben wichtigsten gesetzli-chen Bestimmungen, massgebenden Grundsätze sowie die massgebli-chen Tarifbestimmungen wiederzugeben.</w:t>
      </w:r>
    </w:p>
    <w:p>
      <w:r>
        <w:rPr>
          <w:b/>
        </w:rPr>
        <w:t>E. 2.1</w:t>
      </w:r>
    </w:p>
    <w:p>
      <w:r>
        <w:t>Für die Durchführung der Unfallversicherung sind einheitliche Rechnungsgrundlagen zu verwenden. Der Bundesrat erlässt Richtlinien (Art. 89 Abs. 1 UVG). Gemäss Art. 92 Abs. 1 UVG werden die Prämien von den Versicherern in Promille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Laut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 Die Prämien dürfen nicht nach dem Geschlecht der versicherten Personen abgestuft werden (Art. 92 Abs. 6 UVG).</w:t>
      </w:r>
    </w:p>
    <w:p>
      <w:r>
        <w:rPr>
          <w:b/>
        </w:rPr>
        <w:t>E. 2.2</w:t>
      </w:r>
    </w:p>
    <w:p>
      <w:r>
        <w:t>Die Prämienzuschläge für Verwaltungskosten dienen der Deckung der ordentlichen Aufwendungen, die den Versicherern aus der Durchführung der Unfallversicherung erwachsen, einschliesslich der nicht der Heilbehandlung dienenden Aufwendungen für Dienstleistungen Dritter wie Rechts-, Beratungs- und Begutachtungskosten (Art. 92 Abs. 7 UVG; Art. 114 Abs. 1 UVV). Gemäss Art. 115 Abs. 1 UVV werden die Prämien - unter Vorbehalt der in den Bst. a bis d genannten Abweichungen - auf dem versicherten Verdienst im Sinne von Art. 22 Abs. 1 und 2 UVV erhoben.</w:t>
      </w:r>
    </w:p>
    <w:p>
      <w:r>
        <w:rPr>
          <w:b/>
        </w:rPr>
        <w:t>E. 2.3</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2.3.1</w:t>
      </w:r>
    </w:p>
    <w:p>
      <w:r>
        <w:t>Als Risikoeinheit gelten Betriebe, Betriebsteile und Prämienkonzerne (Art. 7 Abs. 1 des ab 1. Januar 2019 gültigen, vorliegend anwendbaren Prämientarifs der Suva [Reglement des Verwaltungsrats der Suva vom 14. November 2008 betreffend die Einreihungsregeln zur Prämienbemessung in der obligatorischen Unfallversicherung {im Folgenden: Prämien-tarif}]). Die Prämienbemessung erfolgt für jede Risikoeinheit separat (Art. 7 Abs. 2 Prämientarif). Die Risikogemeinschaften der BUV bestehen bei der SUVA aus Klassen, Unterklassen und Unterklassenteilen (Art. 13 Abs. 1 Prämientarif). Klassen sind Risikogemeinschaften, in welchen zum Zweck der langfristigen Finanzierung Unterklassen desselben Wirtschaftszweigs zusammengefasst werden (Abs. 2). Unterklassen sind Risikogemeinschaften, in welchen zum Zweck der statistischen Auswertung Unterklassenteile derselben Branchen zusammengefasst werden (Abs. 3). Unterklassenteile sind Risikogemeinschaften, in welchen zum Zweck der Prämienbemessung gleichartige Betriebe und Betriebsteile mit gleichartigem Unfallrisiko zusammengefasst werden (Abs. 4). Jeder Unterklassenteil verfügt über einen Basissatz. Die Basissätze entsprechen jeweils einem Nettosatz im Suva-Grundtarif (Abs. 5).</w:t>
      </w:r>
    </w:p>
    <w:p>
      <w:r>
        <w:rPr>
          <w:b/>
        </w:rPr>
        <w:t>E. 2.4.1</w:t>
      </w:r>
    </w:p>
    <w:p>
      <w:r>
        <w:t>Die Suva stellt für die verschiedenen Kundensegmente geeignete Prämienmodelle zur Verfügung. Für Betriebe, welche eine ausreichende statistische Grösse aufweisen, wendet sie Prämienmodelle mit Erfahrungstarifierung an (Art. 19 Prämientarif). Massgebend für die Bestimmung des anwendbaren Prämienmodells ist die Basisprämie einer Risikoeinheit. Diese berechnet sich aus den Lohnsummen der Risikoeinheit multipliziert mit den Basissätzen der jeweiligen Risikogemeinschaft, aufsummiert über die letzten sieben Jahre (Art. 20 in Verbindung mit Art. 53 Abs. 6 Prämientarif). Eine Risikoeinheit wird zum Basissatz eingereiht, wenn sie in der Berufsunfallversicherung eine Basisprämie von weniger als 35'000 Franken bzw. in der Nichtberufsunfallversicherung eine Basisprämie von weniger als 420'000 Franken aufweist (Art. 21 Bst. c in Verbindung mit Art. 53 Abs. 7 Prämientarif). Eine Risikoeinheit wird nach dem Bonus-Malus-System eingereiht, wenn sie in den letzten zwei Jahren der Beobachtungsperiode jährlich eine prämienpflichtige Lohnsumme aufwies und ihre Basisprämie in der Berufsunfallversicherung mindestens 35'000 Franken bzw. in der Nichtberufsunfallversicherung mindestens 420'000 Franken beträgt (Art. 22 Abs. 1 in Verbindung mit Art. 53 Abs. 7 und 9 Prämientarif). Sinkt die Basisprämie einer nach dem Bonus-Malus-System eingereihten Risikoeinheit unter 95 % der unteren Grenze gemäss Absatz 1, wird sie zum Basissatz eingereiht (Art. 22 Abs. 2 Prämientarif). Ab einer Basisprämie von 2,1 Millionen Franken gelangt in der Berufsunfallversicherung bzw. der Nichtberufsunfallversicherung die Erfahrungstarifierung zur Anwendung (Art. 23 Abs. 1 in Verbindung mit Art. 53 Abs. 7 Prämientarif).</w:t>
      </w:r>
    </w:p>
    <w:p>
      <w:r>
        <w:rPr>
          <w:b/>
        </w:rPr>
        <w:t>E. 2.4.2</w:t>
      </w:r>
    </w:p>
    <w:p>
      <w:r>
        <w:t>Im Bonus-Malus-System werden für die Prämienbemessung die individuellen Risikoerfahrungen der Risikoeinheiten mitberücksichtigt. Die Kredibilität ist das Ausmass für die Mitberücksichtigung der individuellen Risikoerfahrungen (Art. 37 Abs. 1 Prämientarif). Die Kredibilität berechnet sich aus der Basisprämie dividiert durch die Basisprämie plus 225'000 Franken (Art. 37 Abs. 2 Prämientarif). Massgebend für die Bestimmung der mit einer Risikoeinheit gemachten Risikoerfahrungen ist der während einer Beobachtungsperiode von sieben Jahren entstandene Aufwand für die Kurz- und Langfristleistungen bis 90'000 Franken pro Unfallereignis und Berufskrankheit nach Rückversicherung (Art. 37 Abs. 3 in Verbindung mit Art. 53 Abs. 6 Prämientarif). Zum Aufwand zählen die bereits angefallenen Kosten und die für die erwarteten zukünftigen Kosten vorzunehmenden Rückstellungen (Art. 37 Abs. 4 Prämientarif). Die Risikoerfahrungen der Risikoeinheit werden mit den Risikoerfahrungen der Risikogemeinschaft verglichen. Die Abweichungen werden nach der Kredibilität der Risikoeinheit gewichtet (Art. 37 Abs. 6 Prämientarif). Die gewichteten Abweichungen bestimmen einen allfälligen Bonus oder Malus, der zum Basissatz der Risikogemeinschaft oder zum Mischsatz addiert oder von diesem abgezogen wird. Daraus ergibt sich der Bedarfssatz der Risikoeinheit (Art. 37 Abs. 7 Prämientarif). Der Nettoprämiensatz der Risikoeinheit entspricht dem ihrem Bedarfssatz am nächsten liegenden Nettosatz des Suva-Grundtarifs (Art. 37 Abs. 8 Prämientarif).</w:t>
      </w:r>
    </w:p>
    <w:p>
      <w:r>
        <w:rPr>
          <w:b/>
        </w:rPr>
        <w:t>E. 2.5.1</w:t>
      </w:r>
    </w:p>
    <w:p>
      <w:r>
        <w:t>Bei der Prämienbemessung ist weiter das in Art. 61 Abs. 2 UVG vorgesehene Prinzip der Gegenseitigkeit zu berücksichtigen. Dieses Prinzip verlangt, dass die Suva und die weiteren an der obligatorischen Unfallversicherung beteiligten Versicherer einerseits keine Gewinne aus dem Versicherungsgeschäft erzielen, andererseits finanziell autonom sein sollen.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mit Hinweisen), sollen doch die Prämieneinnahmen nicht durch übermässige Verwaltungsaufwendungen geschmälert werden.</w:t>
      </w:r>
    </w:p>
    <w:p>
      <w:r>
        <w:rPr>
          <w:b/>
        </w:rPr>
        <w:t>E. 2.5.2</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2.5.3</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 Das Bundesgericht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3</w:t>
      </w:r>
    </w:p>
    <w:p>
      <w:r>
        <w:t>Materiell streitig und zu prüfen ist, ob die Vorinstanz die Berechnung der Prämiensätze für das Jahr 2019 korrekt vorgenommen hat.</w:t>
      </w:r>
    </w:p>
    <w:p>
      <w:r>
        <w:rPr>
          <w:b/>
        </w:rPr>
        <w:t>E. 3.1</w:t>
      </w:r>
    </w:p>
    <w:p>
      <w:r>
        <w:t>Die Vorinstanz hat den Beschwerdeführer in der BUV in der Risikogemeinschaft 44D A0 Malen und Gipsen (Malergeschäft) zu einem Basissatz von 2,3860 % eingereiht. Dies ist nicht zu beanstanden und wurde vom Beschwerdeführer auch nicht bestritten. Die massgebliche Lohnsumme für die Jahre 2011 bis 2017 bezifferte die Vorinstanz zutreffend auf Fr. 2'251'994.-. Die Basisprämie beträgt in der BUV demzufolge Fr. 47'553.-. Anwendbar ist vorliegend in der BUV das Bonus-Malus-System. Der Aufwand (Heilkosten- und Taggeld sowie Rückstellungen) für den Beschwerdeführer betrug in den Jahren 2011 bis 2017 Fr. 7'288.-. Gegenüber dem Vergleichswert der Risikogemeinschaft (Fr. 27'962.-) resultierte eine Kredibilität von 17 % und damit ein Bonus von -0,1993 %. Im Vergleich zum Vorjahr wurden für die Berechnung der Kredibilität neu die Heilkosten und die Kosten für Taggeld sowie die Kosten für Invaliditäts- und Todesfallleistungen zusammengefasst. Deshalb fielen die Risikoerfahrungen des Betriebs für Heilkosten und Taggeld im Vergleich zu den Vorjahren weniger stark ins Gewicht. Dies ist eine Folge der Anpassung der Berechnungsgrundlagen. Die Vorinstanz erläuterte in ihrer Vernehmlassung die Hintergründe dieser Änderungen und wies darauf hin, dass die neuen Berechnungsgrundlagen dem Schutz der kleineren Betriebe dienten, da «schlechte Zahlen», beispielsweise wegen eines schweren Unfalls, nicht so stark ins Gewicht fallen würden. Im Gegenzug hätten indes auch «gute Zahlen», wie sie der Beschwerdeführer hat, einen weniger grossen Einfluss auf die eigenen Prämien. Die Berechnung der Vorinstanz erfolgte somit korrekt gemäss den reglementarischen Bestimmungen. Die aus der Änderung der Berechnungsgrundlagen erfolgende Erhöhung des Prämiensatzes beim Beschwerdeführer ist nicht zu beanstanden. Es ist demzufolge von einem BMS-Bedarfssatz für den Betrieb von 2,1867 % (2,3860 % [Basissatz] - 0,1993 % [Bonus]) auszugehen. Daraus resultiert gemäss Art. 37 Abs. 8 Prämientarif in Verbindung mit dem Grundlagenblatt BUV 2019 Stufe 97 mit einem Nettosatz von 2,1640 %.</w:t>
      </w:r>
    </w:p>
    <w:p>
      <w:r>
        <w:rPr>
          <w:b/>
        </w:rPr>
        <w:t>E. 3.2</w:t>
      </w:r>
    </w:p>
    <w:p>
      <w:r>
        <w:t>In der NBUV ermittelte die Vorinstanz einen Betrag von Fr. 44'785.- als massgebliche Basisprämie. Dies ist korrekt und wurde nicht bestritten. Es kommt vorliegend daher das Prämienmodell «Basissatz» zur Anwendung (vgl. E. 2.4.1 hiervor). Der Beschwerdeführer ist somit in der NBUV zum Basissatz der Risikogemeinschaft 44D Malen und Gipsen einzureihen. Aufgrund des gestiegenen Prämienbedarfs, welcher nicht bestritten wird, erhöhte die Vorinstanz in der Risikogemeinschaft die Stufe von 97 auf 98 und daher beträgt der Basissatz neu 2,2720 %. Somit ist auch diese Festsetzung nicht zu beanstanden.</w:t>
      </w:r>
    </w:p>
    <w:p>
      <w:r>
        <w:rPr>
          <w:b/>
        </w:rPr>
        <w:t>E. 3.3</w:t>
      </w:r>
    </w:p>
    <w:p>
      <w:r>
        <w:t>In Bezug auf die durch den Beschwerdeführer vorgebrachte Rüge, die kleineren Betriebe, und somit auch diejenigen mit einer tieferen Lohnsumme, würden durch die neue Berechnungsweise benachteiligt, ist festzuhalten, dass die neue Berechnungsweise - wie die Vorinstanz ausgeführt hat - die individuelle Schadensbilanz der Unternehmen weniger berücksichtigt und so insgesamt zu stabileren Prämien beitragen soll. Im vorliegenden Fall wirkt sich dies nachteilig auf den Beschwerdeführer aus, weil er in den letzten Jahren nur einen kleinen Schadenfall zu verzeichnen hatte. Hätte er allerdings einen grösseren Schadenfall erlitten, würde er von der neuen Regelung profitieren, da der erlittene Schadenfall nicht so grosse Auswirkungen auf die eigene Prämie hätte. Mit Blick auf die in der Unfallversicherung geltenden Regeln der Solidarität und der Risikogerechtigkeit sind die neuen Regelungen durchaus zu vereinbaren und nicht einseitig begünstigend oder benachteiligend, sodass auch unter diesem Titel kein Anlass für eine Korrektur der festgesetzten Prämien besteht. Der Vollständigkeit halber ist darauf hinzuweisen, dass die Vorinstanz zu den vorgenannten Prämiensätzen der BUV und NBUV die üblichen Zuschläge für Verwaltungskosten und Prävention erhoben und ferner einen Abzug für ausserordentliche Anlageerträge erhoben hat. Diese wurden nicht beanstandet und sind nicht weiter zu prüfen. Somit resultierten die Bruttoprämiensätze von 2,2506 % in der BUV und von 2,2700 % in der NBUV. Zusammenfassend ist somit festzuhalten, dass die Vorinstanz die Prämien korrekt festgesetzt hat und die gegen den Einspracheentscheid vom 19. Oktober 2018 erhobene Beschwerde abzuweisen ist.</w:t>
      </w:r>
    </w:p>
    <w:p>
      <w:r>
        <w:rPr>
          <w:b/>
        </w:rPr>
        <w:t>E. 4</w:t>
      </w:r>
    </w:p>
    <w:p>
      <w:r>
        <w:t>Zu befinden bleibt über die Verfahrenskosten und eine allfällige Parteientschädigung.</w:t>
      </w:r>
    </w:p>
    <w:p>
      <w:r>
        <w:rPr>
          <w:b/>
        </w:rPr>
        <w:t>E. 4.1</w:t>
      </w:r>
    </w:p>
    <w:p>
      <w:r>
        <w:t>Gemäss Art. 63 Abs. 1 VwVG sind die Verfahrenskosten der unterliegenden Partei aufzuerlegen. Die Verfahrenskosten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1'200.- festzusetzen und dem geleisteten Kostenvorschuss in der Höhe von Fr. 2'000.- zu entnehmen. Die Differenz von Fr. 800.- ist dem Beschwerdeführer nach Eintritt der Rechtskraft des vorliegenden Entscheids auf ein von ihm bekannt zu gebendes Konto zurückzuerstatten.</w:t>
      </w:r>
    </w:p>
    <w:p>
      <w:r>
        <w:rPr>
          <w:b/>
        </w:rPr>
        <w:t>E. 4.2</w:t>
      </w:r>
    </w:p>
    <w:p>
      <w:r>
        <w:t>Der obsiegenden Partei kann von Amtes wegen oder auf Begehren eine Entschädigung für ihr erwachsene notwendige und verhältnismässig hohe Kosten zugesprochen werden (Art. 64 Abs. 1 VwVG). Die Parteientschädigung umfasst die Kosten der Vertretung sowie allfällige weitere Auslagen der Partei (Art. 8 VGKE). Die Vorinstanz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