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C-6454/2011 vom 22. März 2013</w:t>
      </w:r>
    </w:p>
    <w:p>
      <w:r>
        <w:t>Bundesverwaltungsgericht, 2013-03-22, FR</w:t>
      </w:r>
    </w:p>
    <w:p>
      <w:r>
        <w:rPr>
          <w:b/>
        </w:rPr>
        <w:t xml:space="preserve">Quelle: </w:t>
      </w:r>
      <w:r>
        <w:t>https://mcp.opencaselaw.ch/entscheid/bvger_C-6454_2011</w:t>
      </w:r>
    </w:p>
    <w:p>
      <w:r>
        <w:t>FR: TAF C-6454/2011 du 22 mars 2013</w:t>
      </w:r>
    </w:p>
    <w:p>
      <w:r>
        <w:t>IT: TAF C-6454/2011 del 22 marzo 2013</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ad ch. 2.149ss).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 cit.).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jurispr. cit.; 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ATF 130 II 482 consid. 2 et 128 II 97 consid. 3a).</w:t>
      </w:r>
    </w:p>
    <w:p>
      <w:r>
        <w:rPr>
          <w:b/>
        </w:rPr>
        <w:t>E. 4.1</w:t>
      </w:r>
    </w:p>
    <w:p>
      <w:r>
        <w:t>Conformément à l'art. 41 al. 1 LN, dans sa teneur jusqu'au 1er mars 2011, l'ODM peut, avec l'assentiment de l'autorité du canton d'origine, annuler dans les cinq ans une naturalisation facilitée obtenue par des déclarations mensongères ou par la dissimulation de faits essentiels et qui n'aurait pas été accordée si ces faits avaient été connus (sur se point, cf.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 cit.).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1C_387/2010 du 6 décembre 2010 consid. 2.1.1 et jurispr. cit.).</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précité, consid. 3), mais encore de son propre intérêt, de renverser cette présomption (cf. ATF 135 précité, ibid.).</w:t>
      </w:r>
    </w:p>
    <w:p>
      <w:r>
        <w:rPr>
          <w:b/>
        </w:rPr>
        <w:t>E. 4.2.2</w:t>
      </w:r>
    </w:p>
    <w:p>
      <w:r>
        <w:t>S'agissant d'une présomption de fait, qui ressortit à l'appréciation des preuves et ne modifie pas le fardeau de la preuve (ATF 135 précité, ibid., et réf. cit.),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arrêts du Tribunal fédéral 1C_158/2011 du 26 août 2011, consid. 4.2.2, et 1C_264/2011 du 23 août 2011, consid. 3.1.2, ainsi que réf. cit.). En l'occurrence, A._______ soutient que l'autorité inférieure n'a fourni aucun élément concret permettant de prouver, ou du moins de rendre vraisemblable que les "événements causaux" de la dissolution de l'union conjugale existaient déjà au moment où elle a engagé sa procédure de naturalisation (cf. mémoire de recours, p. 5). Sur ce point, il est important de préciser que le moment décisif au sens de la jurisprudence précitée n'est pas celui de l'introduction de ladite procédure auprès de l'autorité compétente, mais bien celui de la signature de la déclaration sur l'union conjugale ou de l'octroi de la naturalisation facilitée. 5.A titre préliminaire, le Tribunal constate que les conditions formelles de l'annulation de la naturalisation facilitée prévues par l'art. 41 LN sont réalisées dans le cas particulier. En effet, la naturalisation facilitée accordée le 27 juin 2008 à A._______ a été annulée par l'autorité inférieure en date du 3 novembre 2011, soit avant l'échéance du délai péremptoire prévu par la disposition légale précitée, en vigueur à cette époque (RO 2011 348), avec l'assentiment de l'autorité compétente du canton d'origine (Valais).</w:t>
      </w:r>
    </w:p>
    <w:p>
      <w:r>
        <w:rPr>
          <w:b/>
        </w:rPr>
        <w:t>E. 6</w:t>
      </w:r>
    </w:p>
    <w:p>
      <w:r>
        <w:t>Il convient d'examiner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principalement retenu dans la décision querellée l'enchaînement logique et chronologique entre le dépôt prématuré de la demande de naturalisation facilitée d'A._______, la séparation de fait du couple intervenue moins de deux mois après l'entrée en force de cette naturalisation, les relations extraconjugales entretenues par la prénommée avec un citoyen américain, l'enfant issu de ces relations et la contestation en paternité de cet enfant de la part de son ex-époux, procédure qui a été introduite moins de trois jours après l'entrée en force du jugement de divorce ayant dissous le mariage de l'intéressée. L'examen des faits pertinents de la cause, ainsi que leur déroulement chronologique relativement rapide depuis le dépôt de la demande de naturalisation facilitée, amènent le Tribunal à une conclusion identique.6.2 Ainsi, il ressort du dossier qu'A._______ a contracté mariage le 9 juillet 2002 à Kiev. Le 14 septembre 2002, elle a rejoint son mari à Lutry, après avoir été mise au bénéfice d'une autorisation de séjour dans le canton de Vaud, le 13 septembre 2002, au titre du regroupement familial. Le 4 septembre 2007, soit dix jours avant le délai légal de l'art. 27 al. 1 let. a LN, elle a introduit auprès de l'autorité compétente une requête visant à l'obtention de la naturalisation facilitée. Le 2 mai 2008, elle a cosigné avec son époux la déclaration relative à la stabilité de leur union. En date du 27 juin 2008, l'ODM a conféré la nationalité suisse à A._______. Le mari de l'intéressée, B._______, après avoir élu un domicile séparé à Zurich le 13 (ou le 15) mai 2008 pour des raisons professionnelles, a commencé à fréquenter une autre femme résidant en cette ville. La date à laquelle l'intéressé a réellement fait la connaissance de cette personne et a débuté cette relation ne ressort pas clairement du dossier, toutefois il admet avoir commencé à tromper son épouse avec cette femme dès octobre 2008; il est donc vraisemblable que la rencontre ait eu lieu déjà quelques semaines, voire quelques mois auparavant. Par requête commune déposée le 19 octobre 2009 auprès du Tribunal (civil) d'arrondissement de l'Est vaudois, les époux A._______ ont tous deux conclu au divorce et requis la ratification de la convention sur les effets accessoires du divorce signée les 5 et 9 octobre 2009. Ledit Tribunal civil a prononcé le divorce des intéressés par jugement du 14 avril 2010, devenu définitif et exécutoire le 26 avril 2010. Enfin, le 29 avril 2010, B._______ a déposé auprès de ce même Tribunal une demande en contestation de paternité de l'enfant C._______, né le 9 mars 2010 à Morges. Par jugement du 13 octobre 2010, le Tribunal civil a admis cette requête en prononçant que l'enfant précité n'était pas le fils de B. 6.3 Le Tribunal de céans estime que ces divers éléments sont de nature à fonder la présomption de fait selon laquelle la communauté conjugale des époux A._______ n'était pas stable et orientée vers l'avenir, ni au moment de la signature de la déclaration commune, ni au moment de l'octroi de la naturalisation facilitée. 6.3.1 En particulier, le laps de temps entre cette déclaration (2 mai 2008), l'octroi de la naturalisation facilitée (27 juin 2008), la séparation de fait du couple (octobre 2008), le dépôt de la requête commune en divorce (19 octobre 2009) et la demande en contestation de paternité déposée par B._______ (29 avril 2010), soit un peu moins de deux ans, tendent à confirmer que les époux A._______ n'envisageaient pas de mener une vie partagée lors de la signature de la déclaration concernant la communauté conjugale, à tout le moins lors du prononcé de la naturalisation facilitée. Il est en effet conforme à la jurisprudence en la matière d'admettre une présomption de fait selon laquelle la communauté conjugale n'était pas stable lors de l'octroi de la naturalisation si la séparation des époux intervient quelques mois plus tard (cf. ATF 135 II 161 consid. 4.3, 130 II 482 consid. 3.3, arrêt du Tribunal fédéral 1C_399/2010 du 4 mars 2011 consid. 3.3). En l'occurrence, il ne s'est écoulé environ que quatre mois entre l'octroi de la naturalisation facilitée et la séparation de fait des époux A._______. 6.3.2 La recourante conteste l'argumentation de l'ODM tirée de l'enchaînement logique et chronologique des événements. Elle fait en particulier valoir qu'il convient de bien distinguer entre la constitution d'un domicile séparé et "l'extinction" de la vie commune, en soulignant que selon elle, cette dernière n'est intervenue qu'en octobre 2008 (soit après la naturalisation), les époux ayant encore eu jusque-là des activités caractéristiques d'une vie de couple. Le Tribunal ne saurait se rallier à cette manière de présenter les événements. S'agissant de la nécessité de prendre des domiciles séparés, le Tribunal relève que les époux en étaient conscients avant la signature de la déclaration commune le 2 mai 2008 (cf. infra consid. 7.2) et qu'ils ont en conséquence accepté le risque que leur union ne survive pas à cette séparation, ce qu'il est bel et bien advenu à peine quatre mois plus tard. Au demeurant, les activités caractéristiques de la vie de couple auxquelles la recourante fait référence doivent être singulièrement relativisées : il suffit de se référer aux déclarations de B._______ qui a admis avoir "fréquenté deux femmes en même temps", nonobstant le fait que les relations au sein du couple lui semblaient encore excellentes (cf. ibidem). Il s'ensuit que cette argumentation n'est pas de nature à remettre en cause la présomption de fait précitée. 7.Cela étant, conformément à la jurisprudence précitée (cf. consid. 4.2.1 et 4.2.2), il incombe à la recourante de renverser la présomption de fait évoquée plus haut en rendant vraisemblable, soit la survenance d'un événement extraordinaire, susceptible d'expliquer une dégradation aussi rapide du lien conjugal, soit l'absence de conscience de la gravité de ses problèmes de couple au moment de la signature de la déclaration commune. 7.1 A._______ invoque comme cause de la rupture du lien conjugal à la fois la relation extraconjugale "éphémère" de son ex-époux, à partir du mois d'octobre 2008, et la sienne à partir du début de l'année 2009, ces deux événements constituant, selon elle, "les facteurs qui sont en causalité directe" avec dite rupture. Elle considère, en particulier, que la relation extraconjugale de B._______ constitue "un événement extraordinaire" au sens de la jurisprudence. De plus, elle expose que la séparation du couple résulte de la nécessité de prendre des domiciles séparés pour des raisons professionnelles (cf. mémoire de recours, pp. 4 et 5). Sur ce dernier point, elle souligne que la déclaration sur l'union conjugale a été signée le 2 mai 2008, soit avant que son mari ne débute son activité professionnelle à Zurich, le 15 mai 2008, et insiste sur le fait que la vie commune n'a pas pris fin avant le mois d'octobre 2008. Pour appuyer ses dires, elle a produit dans le cadre de la procédure de recours trois photographies censées prouver que les intéressés avaient encore une vie de couple, "avec tout (que) cela comporte", jusqu'à ce que B._______ ait rencontré une autre femme vivant à Zurich (cf. pli du 10 mai 2012). 7.2 Après avoir examiné les pièces du dossier, le Tribunal estime que cette argumentation ne peut être suivie pour plusieurs raisons. 7.2.1 Contrairement à ce que laisse accroire A._______ dans ses écritures du 9 décembre 2011, les époux étaient déjà au courant au mois d'avril 2008, soit avant la signature de la déclaration du 2 mai 2008, de l'imminence de la prise de résidence séparée de B._______ à Zurich. Pareille constatation ressort clairement de l'acte de recours daté du 24 novembre 2011 (p. 1, ch. 4), dans lequel la recourante indique que son ex-mari, après avoir connu une période de chômage en 2008, a retrouvé un travail "in extremis" au sein d'une banque à Zurich, son engagement ayant eu lieu "fin avril" (2008). Ainsi, au moment de la signature de la déclaration commune le 2 mai 2008, les signataires ne pouvaient ignorer l'éventualité, voire la nécessité de devoir prendre des domiciles séparés et, donc, les conséquences que cette manière de vivre pouvait impliquer sur la stabilité de leur union. Par ailleurs, B._______ soutient dans le cadre de la procédure de recours avoir "fréquenté deux femmes en même temps" fin 2008 et début 2009 (cf. courrier du 4 mai 2012 produit le 10 mai 2012, ch. 8). Or, quand bien même les époux A._______ auraient encore entretenu des rapports épisodiques pendant cette période relativement brève (six mois), force est cependant d'admettre qu'une telle conception de la vie en couple n'est pas compatible avec l'existence d'une communauté conjugale, telle qu'exigée en matière de naturalisation facilitée (cf. consid. 3.3 ci-dessus). Dans ces circonstances, et contrairement à ce que laisse accroire la recourante, tout indique que cette dernière et son ex-époux ont adopté en pleine connaissance de cause un mode de vie qui s'apparente à celui d'un couple séparé, et non à celui d'époux formant une communauté de vie telle que seule admise et jugée digne de protection par le législateur fédéral s'agissant de justifier - aux conditions prévues à l'art. 28 LN - l'octroi de la naturalisation facilitée au conjoint étranger d'un ressortissant helvétique. 7.2.2 Cela étant, le Tribunal relève que quatre mois seulement séparent l'octroi de la naturalisation facilitée en faveur d'A._______ le 27 juin 2008 de la relation extraconjugale entamée par son époux au mois d'octobre 2008 (ou six mois si l'on prend comme base de départ la signature de la déclaration commune le 2 mai 2008), de sorte que l'on ne saurait sans autre retenir que cette prétendue cause de la rupture de l'union conjugale se situait clairement après événements. En effet, il est permis de douter que B._______ ait encore eu, en ces occurrences, la volonté intacte de maintenir une union conjugale stable et tournée vers l'avenir au sens de la jurisprudence évoquée plus haut. En entamant une relation extraconjugale dans les circonstances prédécrites, B._______ devait avoir forcément conscience des conséquences directes que la fréquentation d'une autre femme étaient susceptibles d'entraîner sur la stabilité de l'union conjugale, en ce sens qu'il prenait délibérément le risque de mettre en péril son mariage. Aussi peut-on déceler, à travers pareil comportement, un indice sérieux que la communauté conjugale des époux A._______ n'était déjà plus stable au moment de l'octroi de la naturalisation facilitée (cf., dans ce sens, arrêts du Tribunal fédéral 1C_167/2010 du 21 juin 2010 consid. 4 et 1C_52/2009 du 4 août 2009 consid. 3.2). Il n'est pas vraisemblable en effet que la relation extraconjugale entretenue par B._______ ait été de nature à provoquer, à elle seule, la désunion du couple dans le laps de temps de temps d'à peine quatre mois qui sépare la décision conférant la nationalité suisse à son ex-épouse et la séparation effective du couple. En effet, il ne ressort nullement du dossier que cette relation se soit apparentée à un subit coup du destin auquel l'intéressé n'aurait pu échapper; il apparaît au contraire bien plutôt que cette aventure extraconjugale se soit inscrite tout naturellement dans le courant de l'existence. 7.2.3 Au vu de ce qui précède, il y a tout lieu d'en déduire que la liaison de B._______ ne constituait pas le facteur prépondérant et décisif qui a conduit à la désunion du couple, l'instabilité de l'union conjugale devant être considérée comme latente déjà au moment de la signature de la déclaration sur la vie commune le 2 mai 2008, ou à tout le moins lors de l'octroi de la naturalisation facilitée en faveur de son épouse. Il ne s'agissait donc pas d'un événement extraordinaire, qui serait survenu de manière inattendue et subite, précisément quelques mois seulement après l'obtention de la nationalité suisse. Il convient de relever, ce qui est d'ailleurs symptomatique, l'absence de toute trace d'éventuels efforts entrepris pour sauver l'union conjugale. Au contraire, les déclarations des ex-époux laissent plutôt entrevoir une sorte d'acceptation consensuelle de ce nouveau mode d'existence. 7.3 Ainsi, force est d'admettre que la recourante n'a pas été en mesure de renverser ladite présomption en rendant vraisemblable la survenance d'un événement extraordinaire de nature à expliquer une détérioration rapide du lien conjugal, au sens indiqué plus haut (cf. ch. 4.2.2). 7.4 Les autres arguments mis en avant dans le cadre de la procédure de recours, à savoir pour l'essentiel le fait que B._______ garde un excellent contact avec la recourante et qu'il entretient "des liens très forts" avec l'enfant de cette dernière, enfant qui le considère comme son père (cf. déterminations du 10 mai 2012, ch. 7 et 8), ne permettent pas d'affaiblir la présomption que la naturalisation octroyée à la recourante a été obtenue frauduleusement. Il en va de même des photographies produites à l'appui des déterminations du 10 mai 2012, censées démontrer que ce couple "avait vécu une existence parfaitement normale". En effet, ces allégués et moyens de preuve ne changent rien au fait qu'il n'existait plus d'union conjugale stable selon la loi et la jurisprudence, au moment de la signature de la déclaration sur l'union conjugale ou de l'octroi de la nationalité suisse.</w:t>
      </w:r>
    </w:p>
    <w:p>
      <w:r>
        <w:rPr>
          <w:b/>
        </w:rPr>
        <w:t>E. 8</w:t>
      </w:r>
    </w:p>
    <w:p>
      <w:r>
        <w:t>En conclusion, le Tribunal de céans est d'avis qu'il y a lieu de s'en tenir à la présomption de fait, basée essentiellement sur les événements relatés ci-dessus (cf. ch. 6.2 et 6.3), que la naturalisation facilitée a été obtenue de façon frauduleuse. Partant, si tant est qu'A._______ et son époux aient voulu fonder une communauté conjugale effective, au sens de l'art. 27 LN, l'autorité inférieure pouvait considérer, à bon droit, que cette volonté n'existait plus lors de la signature de la déclaration commune ou, a fortiori, au moment de l'octroi de la nationalité suisse. 9.Dans le cadre de la procédure de recours, A._______ a requis son audition personnelle, ainsi que celle de B._______ à titre de témoin (cf. courriers des 13 avril et 13 juin 2012). En l'occurrence, le Tribunal estime que les faits de la cause sont suffisamment établis par les pièces figurant au dossier, de sorte qu'il ne s'avère pas indispensable de donner suite à ladite requête. Quoi qu'en pense la recourante, le Tribunal ne voit pas en effet ce que des explications orales supplémentaires de la part de ces personnes apporteraient dans la présente affaire, au vu des développements antérieurs. A noter que B._______ a été entendu par la police cantonale vaudoise sur les circonstances de son mariage avec A._______ et sur les motifs de leur séparation. De plus, il appert que la prénommée a pu présenter ses propres explications dans le premier mémoire de recours qu'elle a déposé le 28 novembre 2011 en son propre nom devant l'instance de recours (cf. acte daté du 24 novembre 2011). Quant à B._______, il a également eu la possibilité d'exposer valablement son point de vue dans le cadre de la procédure de recours (cf. écrit du 4 mai 2012 produit le 10 mai 2012). Au demeurant, le doit d'être entendu, dont la garantie est expressément consacrée à l'art. 29 al. 2 de la Constitution fédérale de la Confédération suisse du 18 avril 1999 (Cst.; RS 101), ne confère notamment pas aux parties le droit de s'exprimer verbalement devant l'autorité appelée à prendre une décision (cf. notamment arrêt du Tribunal fédéral 6B_145/2009 du 28 mai 2009 consid. 3.2). La partie ne peut ainsi exiger d'être entendue oralement en procédure administrative (cf. Moser, Beusch, Kneubühler, op. cit., ad ch. 3.86). En outre, l'audition de témoins n'étant prévue qu'à titre subsidiaire en procédure administrative (cf.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131 I 153 consid. 3, 130 II 425 consid. 2.1). En l'occurrence,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ATF 130 II 169 consid. 2.3.3).</w:t>
      </w:r>
    </w:p>
    <w:p>
      <w:r>
        <w:rPr>
          <w:b/>
        </w:rPr>
        <w:t>E. 10</w:t>
      </w:r>
    </w:p>
    <w:p>
      <w:r>
        <w:t>10.1 A._______ laisse entendre que la décision attaquée aurait pour effet de la rendre apatride, de même que son fils C._______ (cf. mémoire de recours du 24 novembre 2011, p. 2). Selon la jurisprudence du Tribunal fédéral, le risque que la recourante devienne apatride ne fait pas obstacle à l'annulation de la naturalisation facilitée. Si celle-ci a été obtenue frauduleusement, l'intéressée doit en effet supporter les conséquences qui résultent pour elle de la perte de la nationalité suisse. Admettre qu'il en aille autrement reviendrait à conférer aux apatrides potentiels une protection absolue contre une éventuelle annulation de la naturalisation facilitée, ce qui contreviendrait au principe de l'égalité de traitement (cf. arrêt du Tribunal fédéral 1C_439/2008 du 6 novembre 2008 consid. 5 et jurispr. cit.).</w:t>
      </w:r>
    </w:p>
    <w:p>
      <w:r>
        <w:rPr>
          <w:b/>
        </w:rPr>
        <w:t>E. 10.2</w:t>
      </w:r>
    </w:p>
    <w:p>
      <w:r>
        <w:t>Sauf décision expresse, l'annulation fait également perdre la nationalité suisse aux membres de la famille qui l'ont acquise en vertu de la décision annulée (cf. art. 41 al. 3 LN). Il en va ainsi de l'enfant issu de la relation extraconjugale de la recourante, C._______, né 9 mars 2010 (cf. jugement du Tribunal civil du 13 octobre 2010, ch. 2). A cet égard, le Tribunal observe qu'il n'apparaît pas, au vu de la législation ukrainienne en vigueur (cf. loi sur la nationalité de l'Ukraine, dans sa version du 18 janvier 2001, in Bergmann Alexander / Ferid Murad / Heinrich Dieter, Internationales Ehe- und Kindschaftsrecht mit Staatsangehörigkeitsrecht, Ukraine, p. 11ss), que l'enfant prénommé soit menacé d'apatridie, de sorte qu'il ne se justifie pas en l'espèce de s'écarter de la norme prévue par la disposition mentionnée.</w:t>
      </w:r>
    </w:p>
    <w:p>
      <w:r>
        <w:rPr>
          <w:b/>
        </w:rPr>
        <w:t>E. 10.3</w:t>
      </w:r>
    </w:p>
    <w:p>
      <w:r>
        <w:t>La recourante fait encore valoir que l'annulation de la naturalisation facilitée constitue "un acte gravissime" et qu'elle irait à l'encontre de l'intérêt supérieur de l'enfant (art. 3 CDE), en raison "des liens très forts" unissant B._______ et l'enfant C._______. Dans ce contexte, elle se prévaut de la jurisprudence du Tribunal fédéral (ATF 135 II 161) selon laquelle l'annulation de la naturalisation ne s'étend pas impérativement à tous les membres de la famille naturalisés (cf. déterminations du 10 mai 2012, ch. 10). Sur ce point, le Tribunal relève que C._______ n'est âgé que de trois ans et que son sort est donc encore intimement lié à celui de sa mère. Contrairement à l'avis défendu par la recourante, il ne s'impose nullement, in casu, d'examiner si les critères d'intégration fixés dans ladite jurisprudence (comportement irréprochable, accomplissement du service militaire, formation, activité professionnelle, utilisation du droit de vote) s'opposent à l'annulation de nationalité suisse conférée à l'enfant C._______. Force est donc d'admettre que la décision de l'ODM du 3 novembre 2011, en tant qu'elle étend l'annulation de la naturalisation facilitée à l'enfant C.________, n'est ni contraire au sens et au but de la loi sur la nationalité ni constitutif d'une violation du principe de la proportionnalité. Au demeurant, il sied de noter que la disposition conventionnelle invoquée par la recourante n'apporte aucune précision et n'a, pour ce motif, pas de portée propre. Tout au plus, l'art. 3 CDE rappelle-t-il que l'intérêt supérieur de l'enfant doit être une considération primordiale pour toutes les décisions qui concernent les enfants, ce qui correspond également au but de art. 307ss CC (cf. arrêt du Tribunal fédéral 5A_858/2008 du 15 avril 2009 consid. 4.2 et réf. cit.). 11.Il ressort de ce qui précède que, par sa décision du 3 novembre 2011,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