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C-6452/2011 vom 4. Januar 2013</w:t>
      </w:r>
    </w:p>
    <w:p>
      <w:r>
        <w:t>Bundesverwaltungsgericht, 2013-01-04, FR</w:t>
      </w:r>
    </w:p>
    <w:p>
      <w:r>
        <w:rPr>
          <w:b/>
        </w:rPr>
        <w:t xml:space="preserve">Quelle: </w:t>
      </w:r>
      <w:r>
        <w:t>https://mcp.opencaselaw.ch/entscheid/bvger_C-6452_2011</w:t>
      </w:r>
    </w:p>
    <w:p>
      <w:r>
        <w:t>FR: TAF C-6452/2011 du 4 janvier 2013</w:t>
      </w:r>
    </w:p>
    <w:p>
      <w:r>
        <w:t>IT: TAF C-6452/2011 del 4 gennaio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consid. 4.2 ci-après).</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 5.A titre liminaire, le Tribunal constate que les conditions formelles de l'annulation de la naturalisation facilitée prévues à l'art. 41 LN sont réalisées dans le cas particulier. En effet, la naturalisation facilitée accordée le 28 décembre 2006 à A._______ a été annulée par l'ODM le 27 octobre 2011, soit avant l'échéance du délai péremptoire de huit ans prévu à l'art. 41 al. 1bis LN, dans sa nouvelle version, entrée en vigueur le 1er mars 2011, laquelle se trouve applicable puisque le délai de péremption de l'ancien art. 41 al. 1 LN (RO 1952 1113) n'était pas écoulé au moment de l'entrée en vigueur du nouveau droit (cf. arrêt du Tribunal administratif fédéral C-476/2012 du 19 juillet 2012 consid. 4.4). La décision d'annulation de la naturalisation facilitée est intervenue également dans le cadre du délai relatif de deux ans introduit par l'art. 41 al. 1bis LN et qui a commencé à courir à l'entrée en vigueur du nouveau droit, le 1er mars 2011 (cf. arrêt du TAF précité ibid.). En conséquence, c'est à tort que le recourant prétend que le délai de prescription pour annuler la naturalisation facilitée n'a pas été respecté par l'ODM. Il appert par ailleurs que l'accord de l'autorité du canton d'origine, à savoir le canton de Neuchâtel, a été obtenu le 14 septembre 2011. 6.Il convient dès lors d'examiner si les circonstances de l'espèce répondent aux conditions matérielles de l'annulation de la naturalisation facilitée. 6.1 Dans le cas particulier, l'autorité inférieure a retenu, dans la décision querellée, que l'enchaînement des faits entre le séjour illégal du recourant en Suisse après le rejet de sa demande d'asile, son mariage le 11 octobre 2010 avec une ressortissante suisse qu'il avait connue deux mois auparavant, la conception d'un enfant adultérin quelques mois après l'obtention de la naturalisation facilitée, alors qu'il avait refusé toute descendance à son épouse suisse et son mariage subséquent avec la mère de son enfant, une ressortissante macédonienne, fondait la présomption de fait que l'intéressé n'avait jamais eu la réelle intention de fonder un foyer avec son épouse suisse et que sa naturalisation facilitée avait ainsi été obtenue frauduleusement. 6.2 On peut douter que la chronologie des événements avancée par l'autorité inférieure soit propre à fonder la présomption de fait que la naturalisation facilitée a été obtenue frauduleusement. En effet, il ressort d'abord des déclarations de B._______ lors de son audition du 6 juin 2011 par le Service des naturalisations du canton de Genève, que c'était elle-même qui avait pris l'initiative de se marier, que le couple avait vécu durant plusieurs années en bonne harmonie, que la communauté conjugale était, selon elle, effective et stable lors de la signature de la déclaration commune le 6 décembre 2006, que les époux avaient continué à entreprendre des activités communes durant la période séparant la naturalisation de A._______ et leur séparation en octobre 2008 et que l'élément qui avait provoqué la rupture de leur union conjugale avait été, à Pâques 2008, la découverte des mensonges de son époux au sujet des dépenses et des crédits qu'il avait contractés sans son accord. Il s'impose de relever ensuite que, depuis leur mariage le 11 octobre 2000, les époux A._______-B._______ ont vécu durant plus de huit ans en communauté conjugale et que, compte tenu de sa durée, le sérieux de cette union peut difficilement être mis en doute. Force est de constater par ailleurs que vingt-deux mois se sont écoulés entre l'octroi, le 28 décembre 2006, de la naturalisation facilitée à A._______ et la séparation des époux, effectivement décidée en octobre 2008. Or, il convient de remarquer ici qu'une telle période, relativement longue, peut impliquer non seulement la survenance d'événements particuliers, mais aussi une évolution dans la situation de la communauté conjugale. Cela étant, le fait que les époux A._______-B._______ aient déposé une requête commune en divorce trois mois seulement après leur séparation définitive décidée en octobre 2008 n'est pas de nature, en tant que tel, à remettre en cause l'existence d'une communauté conjugale étroite et effective lors de la signature de la déclaration commune du 6 décembre 2006, ainsi que lors de l'octroi de la naturalisation facilitée au recourant le 28 décembre 2006. S'agissant de la conception, par le recourant, d'un enfant adultérin lors de vacances en Macédoine en été 2007, aucun élément du dossier ne permet de mettre en doute ni la date exacte (soit le 20 août 2007) à laquelle le recourant a déclaré avoir fait la connaissance de C._______, ni le caractère fortuit de cette rencontre. Dans ces circonstances, même si le recourant a indiqué, dans son courrier à l'OCP du 7 mars 2011, qu'il était "en froid" avec son épouse durant l'été 2007, cette information ne permet pas d'en conclure qu'il avait déjà l'intention de mettre fin rapidement à la communauté conjugale qu'il formait avec B._______ lors de la signature, le 6 décembre 2006, de la déclaration relative à la stabilité du couple. Finalement, le Tribunal considère que le fait que le recourant se soit marié, une année après son divorce, avec C._______ et qu'il ait ensuite conçu un deuxième enfant avec elle, ne constitue pas un élément suffisant pour remettre en cause la réalité de son union avec B._______ et l'existence d'une communauté conjugale stable et effective lors de la signature de la déclaration commune du 6 décembre 2006. 6.3 Cela étant, même à supposer que l'on puisse tenir pour établie la présomption de fait selon laquelle la naturalisation a été obtenue frauduleusement sur la base de l'enchaînement des événements exposé par l'ODM, il y aurait lieu de constater que le recourant a été en mesure de la renverser, au sens de la jurisprudence (cf. consid. 4.3), en rendant vraisemblable que des faits postérieurs à la naturalisation facilitée ont été à l'origine de la rupture de son union conjugale avec B._______. Le recourant a en effet rendu vraisemblable la survenance d'un événement intervenu après l'octroi de la naturalisation facilitée, à savoir la dégradation des rapports conjugaux remontant à Pâques 2008 et liée à la découverte, par son ex-épouse, des dépenses et des crédits qu'il avait assumés, ce qui avait entraîné une rupture du lien de confiance et la séparation subséquente. Ceci est dûment corroboré par les déclaration de l'ex-épouse. Ce n'est donc pas tant l'aventure du recourant remontant à août 2007 qui a été décisive dans la rupture, mais d'autres circonstances qui datent de plus d'une année après l'octroi de la naturalisation facilitée et qui sont apparemment venues à jour contre la volonté du recourant. Vu le laps de temps écoulé entre la naturalisation facilitée et la crise conjugale en question, et compte tenu de la cause de cette dernière, on ne saurait considérer que le couple était déjà instable au moment déterminant, à savoir en décembre 2006 et a fortiori que le recourant en était conscient. 6.4 En conséquence, sur la base des éléments du dossier, le Tribunal estime vraisemblable que A._______ n'a pas fait de déclaration mensongère lorsqu'il a signé la déclaration litigieuse du 6 décembre 2006. Il ressort de ce qui précède que les conditions requises pour l'annulation d'une naturalisation facilitée au sens de l'art. 41 al. 1 LN ne sont en l'espèce pas réalisées, contrairement à ce qu'a retenu l'autorité inférieure.</w:t>
      </w:r>
    </w:p>
    <w:p>
      <w:r>
        <w:rPr>
          <w:b/>
        </w:rPr>
        <w:t>E. 7.1</w:t>
      </w:r>
    </w:p>
    <w:p>
      <w:r>
        <w:t>Le recours est en conséquence admis et la décision querellée est annulée, non seulement en tant qu'elle concerne le recourant, mais également en tant qu'elle fait perdre la nationalité suisse aux membres de sa famille qui l'auraient acquise en vertu de la décision annulée, soit le ou les enfants que A._______ a eus avec C._______.</w:t>
      </w:r>
    </w:p>
    <w:p>
      <w:r>
        <w:rPr>
          <w:b/>
        </w:rPr>
        <w:t>E. 7.2</w:t>
      </w:r>
    </w:p>
    <w:p>
      <w:r>
        <w:t>Obtenant gain de cause, le recourant n'a pas à supporter de frais de procédure (cf. art. 63 al. 1 a contrario et al. 3 PA). Bien qu'elle succombe, l'autorité inférieure n'a pas à supporter de frais de procédure (art. 63 al. 2 PA). Le recourant, qui a été représenté par un avocat quasiment jusqu'au terme de la procédure,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lequel a toutefois cessé de représenter le recourant le 26 juillet 2012, le Tribunal estime, au regard des art. 8 ss FITAF, que le versement d'un montant de Fr. 1'000.-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