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C-6450/2012 vom 30. Juli 2014</w:t>
      </w:r>
    </w:p>
    <w:p>
      <w:r>
        <w:t>Bundesverwaltungsgericht, 2014-07-30, FR</w:t>
      </w:r>
    </w:p>
    <w:p>
      <w:r>
        <w:rPr>
          <w:b/>
        </w:rPr>
        <w:t xml:space="preserve">Quelle: </w:t>
      </w:r>
      <w:r>
        <w:t>https://mcp.opencaselaw.ch/entscheid/bvger_C-6450_2012</w:t>
      </w:r>
    </w:p>
    <w:p>
      <w:r>
        <w:t>FR: TAF C-6450/2012 du 30 juillet 2014</w:t>
      </w:r>
    </w:p>
    <w:p>
      <w:r>
        <w:t>IT: TAF C-6450/2012 del 30 luglio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rendues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 Beusch / Kneubühler, Prozessieren vor dem Bundesverwaltungsgericht, Handbücher für die Anwaltspraxis, Tome X, 2ème éd., Bâle 2013, p. 226, ch. 3.197). Aussi peut-elle admettre ou rejeter le pourvoi pour d'autres motifs que ceux invoqués. Dans son arrêt, elle prend en considération l'état de fait existant au moment où elle statue (cf. ATAF 2013/33 consid. 2,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&lt; http://www.bfm.admin.ch/Documentation/ Bases légales/Directives et circulaires/Domaine des étrangers/Procédure et compétences, version du 25 octobre 2013, actualisés le 4 juillet 2014, consultés le 3 juin 2014). Il s'ensuit que ni le Tribunal, ni l'ODM ne sont liés par la décision du SPOP du 25 juin 2012 de renouveler l'autorisation de séjour dont l'intéressée bénéficiait antérieurement et peuvent parfaitement s'écarter de l'appréciation de l'autorité cantonale précitée.</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L'époux étranger d'un citoyen suisse a droit, sous réserve de l'art. 51 al. 1 LEtr, à l'octroi et la prolongation de son autorisation de séjour, aussi longtemps qu'il fait ménage commun avec son époux (art. 42 al. 1 LEtr).</w:t>
      </w:r>
    </w:p>
    <w:p>
      <w:r>
        <w:rPr>
          <w:b/>
        </w:rPr>
        <w:t>E. 4.2</w:t>
      </w:r>
    </w:p>
    <w:p>
      <w:r>
        <w:t>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Caroni/Gächter/Thurnherr [éd.], Bundesgesetz über die Ausländerinnen und Ausländer [AuG], Berne 2010, ad art. 42 n. 55; Marc Spescha in: Spescha, Thür, Zünd, Bolzli [éd.], Migrationsrecht, 3èmeédition, Zurich 2012, ad art. 42 n. 9).</w:t>
      </w:r>
    </w:p>
    <w:p>
      <w:r>
        <w:rPr>
          <w:b/>
        </w:rPr>
        <w:t>E. 4.3</w:t>
      </w:r>
    </w:p>
    <w:p>
      <w:r>
        <w:t>Dans le cas d'espèce, le mariage contracté à Pully le 3 avril 2009 entre A._______ et son époux de nationalité suisse a été dissous par jugement de divorce prononcé par le Tribunal d'arrondissement de Lausanne le 28 décembre 2012, lequel est entré en force le 8 février 2013. La recourante ne peut donc plus déduire un droit à une autorisation de séjour selon l'art. 42 al. 1 LEtr. La séparation définitive des époux étant intervenue à la fin du mois de mai 2009, la recourante n'a manifestement pas vécu en ménage commun pendant cinq ans avec son époux de nationalité suisse. Elle n'a dès lors pas non plus de droit à l'octroi d'une autorisation d'établissement fondée sur l'art. 42 al. 3 LEtr, en relation avec l'art. 49 LEtr.</w:t>
      </w:r>
    </w:p>
    <w:p>
      <w:r>
        <w:rPr>
          <w:b/>
        </w:rPr>
        <w:t>E. 4.4</w:t>
      </w:r>
    </w:p>
    <w:p>
      <w:r>
        <w:t>Compte tenu de ce qui précède, l'intéressée ne peut pas non plus exciper d'un droit à une autorisation de séjour fondée sur l'art. 8 par. 1 de la Convention du 4 novembre 1950 de sauvegarde des droits de l'homme et des libertés fondamentales (CEDH, RS 0.101), car la jurisprudence subordonne expressément la possibilité d'invoquer cette disposition conventionnelle à l'existence d'une relation étroite et effective avec la personne ayant un droit de présence en Suisse. Or, les époux ont divorcé et ne font plus ménage commun (cf. notamment ATF 135 I 143 consid. 1.3.1 et 131 II 265 consid. 5), de sorte que les conditions d'application de cette disposition ne sont manifestement pas réunies.</w:t>
      </w:r>
    </w:p>
    <w:p>
      <w:r>
        <w:rPr>
          <w:b/>
        </w:rPr>
        <w:t>E. 5</w:t>
      </w:r>
    </w:p>
    <w:p>
      <w:r>
        <w:t>Il convient dès lors d'examiner si l'intéressée peut se prévaloir d'un droit à la prolongation de son autorisation de séjour en vertu de l'art. 50 LEtr (cf. arrêt du TF 2C_556/2010 du 2 décembre 2010 consid. 4), en relation avec l'art. 77 al. 1 OASA.</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Le ménage commun implique une vie conjugale effective (cf. notamment ATF 138 II 229 consid. 2 et ATF 136 II précité consid. 3.3.5).</w:t>
      </w:r>
    </w:p>
    <w:p>
      <w:r>
        <w:rPr>
          <w:b/>
        </w:rPr>
        <w:t>E. 5.2</w:t>
      </w:r>
    </w:p>
    <w:p>
      <w:r>
        <w:t>Comme relevé ci-dessus, le couple a contracté mariage à Pully le 3 avril 2009 et les conjoints ont effectivement vécu ensemble jusqu'à la fin du mois de mai 2009. Ainsi, la communauté conjugale a duré moins de deux mois, de sorte que la première condition des art. 50 al. 1 let. a LEtr et 77 al. 1 let. a OASA n'est pas remplie, ce qui dispense le Tribunal d'examiner la seconde condition, tenant à l'intégration réussie (cf. sur ce dernier point, ATF 136 II précité consid. 3.4).</w:t>
      </w:r>
    </w:p>
    <w:p>
      <w:r>
        <w:rPr>
          <w:b/>
        </w:rPr>
        <w:t>E. 6</w:t>
      </w:r>
    </w:p>
    <w:p>
      <w:r>
        <w:t>Cela étant, il sied encore d'examiner, précisément, si la poursuite du séjour en Suisse de la recourante s'impose pour des raisons personnelles majeures au sens de l'art. 50 al. 1 let. b LEtr.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6.1</w:t>
      </w:r>
    </w:p>
    <w:p>
      <w:r>
        <w:t>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2C_764/2012 et 2C_993/2011 précités, ibid.).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Tribunal fédéral 2C_803/2010 du 14 juin 2011 consid. 2.3.2; 2C_540/2009 du 26 février 2010 consid. 2.2-2.4 et 2C_590/2010 du 29 novembre 2010 consid. 2.5.2 in fine; SPESCHA, op. cit., art. 50 n° 10; CARONI, op. cit.,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une fois été privé de la possibilité d'entrer dans son logement par son épouse, laquelle avait fait changer le cylindre de la porte d'entrée (cf. arrêt du TF 2C_377/2010 du 28 juillet 2010 consid. 4.3). 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et les réf. citées). 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TF 2C_771/2013 du 11 novembre 2013 consid. 3.1).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137 II 345 consid. 3.2.1 au sujet des différences avec les conditions d'application de l'art. 30 al. 1 let. b LEtr et consid. 3.2.2 et 3.2.3 sur la notion de "raisons personnelles majeures").</w:t>
      </w:r>
    </w:p>
    <w:p>
      <w:r>
        <w:rPr>
          <w:b/>
        </w:rPr>
        <w:t>E. 6.2</w:t>
      </w:r>
    </w:p>
    <w:p>
      <w:r>
        <w:t>En l'occurrence, il s'agit d'examiner dans quelle mesure la recourante peut se prévaloir de raisons personnelles majeures au sens de l'art. 77 al. 1 let. b OASA, justifiant la prolongation de son autorisation de séjour.</w:t>
      </w:r>
    </w:p>
    <w:p>
      <w:r>
        <w:rPr>
          <w:b/>
        </w:rPr>
        <w:t>E. 6.2.1</w:t>
      </w:r>
    </w:p>
    <w:p>
      <w:r>
        <w:t>La recourante a allégué, dans son recours du 11 décembre 2012, que le couple avait rapidement rencontré des difficultés conjugales, que son époux contrôlait son code vestimentaire, qu'il la sommait de porter le voile, qu'elle n'avait jamais été autorisée à sortir seule, à l'exception de deux fois pour faire de rapides courses dans un magasin proche de son domicile, qu'il l'avait battue à son retour, qu'il avait également contrôlé les tickets de caisse, qu'il lui avait ordonné de rendre le reste de l'argent dépensé, qu'il lui faisait subir de la « violence économique » en lui interdisant de chercher un emploi et en ne lui laissant pas d'argent à disposition et que, aux yeux de son mari, elle était en Suisse pour s'occuper de lui, faire le ménage et les repas. L'intéressée a également expliqué, de façon détaillée, les raisons pour lesquelles elle avait dû solliciter l'intervention de la police à deux reprises. Elle a ainsi exposé que, le 30 mai 2009, son époux avait tenté de l'étouffer et de l'étrangler, qu'après avoir réussi à s'enfuir, elle avait demandé de l'aide dans une vidéothèque proche du domicile conjugal, que le personnel du magasin avait insisté pour appeler la police en raison des nombreuses marques qu'elle avait sur le visage et le cou, que la police était ensuite intervenue et avait placé B._______ en garde à vue durant toute la nuit, alors qu'elle-même était allée se réfugier au Centre d'accueil Malley-Prairie. Elle a également indiqué que, le 30 juin 2009, elle s'était rendue au domicile conjugal pour remettre les clés de l'appartement au prénommé, que ce dernier lui avait alors réclamé le téléphone portable qu'il lui avait offert, que suite à son refus de le lui rendre avant d'avoir sauvegardé ses contacts, il l'avait attrapée, amenée dans la chambre à coucher et menacée de mort avant de la saisir à la gorge en lui mettant une main sur le nez et la bouche, qu'il l'avait ensuite poussée, tirée par les cheveux et frappée d'un coup de poing avant de l'abandonner en pleurs et de quitter l'appartement. Pour confirmer ses dires, l'intéressée a en particulier fourni un constat médical de l'Unité de Médecine des Violences du CHUV accompagné d'un lot de photographies, deux attestations du Centre d'accueil Malley-Prairie, une attestation du Centre LAVI, un rapport de suivi de l'association D'M Coaching et des documents relatifs aux procédures pénales engagées suite aux épisodes des 30 mai et 30 juin 2009. Il ressort notamment du constat médical précité du 2 juillet 2009 que la recourante a bénéficié, le 30 juin 2009, d'une consultation au Centre interdisciplinaire des Urgences du CHUV. Au cours de celle-ci, A._______ a fait état de douleurs au genou gauche et au pied droit, une légère tuméfaction au dos du pied droit a été notée et la prénommée a également signalé un changement du timbre de sa voix (qu'elle attribuait au fait d'avoir beaucoup crié) et rapporté des nausées sans vomissement ainsi que des vertiges. Selon cette attestation, la requérante présentait des traces de griffure au niveau du cou et du sternum et a bénéficié d'une consultation ORL, laquelle a permis de déceler de petites lésions superficielles diffuses au niveau du cou, une crépitation à la palpation laryngée et une douleur à la palpation des articulations temporo-mandibulaires. En outre, un scanner du massif facial et du larynx a conclu à un examen dans les limites de la norme. Un traitement antalgique et anti-inflammatoire non stéroïdien a été prescrit, de même que l'application locale d'une crème anti-inflammatoire et analgésique sur la cheville et le pied gauche, ainsi que le port d'une bande. Examinée le 2 juillet 2009 à l'Unité de Médecine des Violences du CHUV, l'intéressée a notamment expliqué que, le 30 juin 2009, elle avait dû rendre les clés de l'appartement à son époux suite à une décision du juge et qu'elle avait été victime d'une agression de la part de B._______ - dont elle vivait séparée depuis un mois - à leur domicile, tout en précisant que, le 30 mai 2009, elle avait déjà été insultée, dénigrée, menacée de mort et saisie à la gorge par son époux. Selon l'attestation du 22 mars 2012 du Centre d'accueil Malley-Prairie, l'intéressée a séjourné dans ce centre du 31 mai 2009 au 2 juin 2009 et a également suivi des entretiens ambulatoires les 5 et 17 juin 2009, ainsi que les 1, 3 et 14 juillet 2009. Dans l'attestation détaillée établie le 17 juillet 2013 par ce centre, il est indiqué que la recourante a appelé cette fondation une première fois début juin 2009 (recte: 30 mai 2009), suite à une tentative de strangulation, qu'il lui avait alors été conseillé de contacter la police et que celle-ci avait pris sa déposition, interrogé son époux et gardé ce dernier au poste, de sorte que la requérante avait pu rentrer chez elle pour la nuit. Ne se sentant pas en sécurité au domicile conjugal, elle avait toutefois demandé une admission d'urgence le lendemain et, suite à une mesure d'expulsion du domicile de l'époux de quatorze jours ordonnée par la police (cf. à cet égard notamment le prononcé du 3 juin 2009 du Tribunal d'arrondissement de Lausanne), elle était rentrée chez elle deux jours plus tard. Il ressort également de ce document qu'A._______ a exposé avoir subi des violences physiques régulières, des insultes quasi quotidiennes, des menaces de mort récurrentes, un contrôle financier total depuis son mariage, ainsi que la tentative de strangulation précitée, et avoir vécu celle-ci comme une tentative d'homicide, ce qui avait été la cause de son départ du domicile conjugal. La prénommée a en outre affirmé qu'elle avait fait des efforts constants et importants pour être une "bonne épouse", qu'elle ne comprenait pas ses torts et que la dispute qui avait éclaté avant la tentative de strangulation était due à son refus de porter le voile. Dans cette attestation, il est par ailleurs mentionné que la requérante était revenue en urgence dans ce centre au début du mois de juillet 2009 suite à de nouvelles violences, qu'une deuxième plainte avait été déposée, qu'un constat pour coups et blessures avait été effectué par l'Unité de Médecine des Violences du CHUV, qu'elle était encore sous le choc de cette nouvelle agression lorsqu'elle était venue consulter début juillet 2009, qu'elle avait souhaité bénéficier d'un soutien psychologique, que ses propos étaient crédibles, que les conséquences psychologiques de ces violences étaient tout à fait compatibles avec les faits décrits et que sa situation était typique d'une relation de domination conjugale imposée par un mari qui usait de violence lorsqu'elle refusait de se soumettre à sa loi. Il résulte en outre de l'attestation du Centre LAVI du canton de Vaud datée du 9 août 2012 que la recourante a été reçue en consultation par ce centre le 17 juin 2009, qu'elle a été reconnue comme victime d'infractions au sens de l'art. 1 al. 1 et 2 de la LAVI et que celles-ci ont été subies dans un contexte de violences conjugales. Par ailleurs, selon le rapport de suivi établi le 21 août 2012 par l'association D'M Coaching, la requérante qui souhaitait trouver rapidement un emploi pour sortir de l'emprise de son conjoint a bénéficié, sur conseil du Centre d'accueil Malley-Prairie, d'une mesure d'accompagnement destinée aux femmes victimes de violence conjugale, laquelle s'est déroulée du 25 juin au 30 septembre 2009 ; la recourante l'a toutefois interrompue le 31 juillet 2009, après cinq entretiens, dès lors qu'elle ne parvenait plus à répondre aux attentes de cette mesure en raison du harcèlement constant de son époux et de l'atteinte à sa santé qui en résultait.</w:t>
      </w:r>
    </w:p>
    <w:p>
      <w:r>
        <w:rPr>
          <w:b/>
        </w:rPr>
        <w:t>E. 6.2.2</w:t>
      </w:r>
    </w:p>
    <w:p>
      <w:r>
        <w:t>Certes, ces documents ont été rédigés sur la base des seules allégations de la recourante. En outre, par ordonnance du 19 août 2010, le juge d'instruction de l'arrondissement de l'Est vaudois a renvoyé l'intéressée devant le Tribunal de police de l'arrondissement de Lausanne pour calomnie, dénonciation calomnieuse et tentative d'instigation à faux témoignage, considéré que B._______, contre qui l'enquête avait été dirigée pour voies de fait qualifiées, menaces qualifiées et injure à l'encontre de son épouse, devait être libéré des fins de l'action pénale et prononcé un non-lieu en sa faveur. Dans ses déterminations du 30 août 2012, la recourante a cependant soutenu qu'elle parlait alors mal le français, qu'elle traversait également une période de dépression, qu'il lui avait donc été impossible de se défendre, que son avocat lui avait ensuite conseillé d'accepter de dédommager son époux pour éviter une éventuelle condamnation pour dénonciation calomnieuse, que l'accord avait porté sur le retrait de la plainte de son époux à son encontre et qu'elle avait suivi ce conseil, mais qu'elle avait cependant toujours dit la vérité quant aux violences qu'elle avait subies.</w:t>
      </w:r>
    </w:p>
    <w:p>
      <w:r>
        <w:rPr>
          <w:b/>
        </w:rPr>
        <w:t>E. 6.2.3</w:t>
      </w:r>
    </w:p>
    <w:p>
      <w:r>
        <w:t>A cet égard, le Tribunal ne peut qu'observer qu'hormis le constat médical du 2 juillet 2009, tous les autres documents susmentionnés ont été établis postérieurement à l'ordonnance pénale précitée et n'ont, et pour cause, pas pu être pris en considération par le juge d'instruction de l'arrondissement de l'Est vaudois. Or, au vu des déclarations constantes de l'intéressée et des divers documents se rapportant à la prise de contact avec plusieurs institutions spécialisées pour les victimes de violences conjugales suite aux épisodes des 30 mai et 30 juin 2009 qui ont été produits au cours de la présente procédure, le Tribunal estime que ces éléments étayent de manière suffisante la thèse de violences domestiques. En outre, sur la base de ces éléments, le Tribunal retient que l'on ne pouvait exiger plus longtemps de la recourante qu'elle poursuive l'union conjugale, sous peine de mettre en péril sa santé tant physique que psychique. En effet, il faut admettre que cette dernière a pu illustrer de façon concrète et objective, respectivement a pu établir par preuve, le caractère systématique des pressions psychiques dont elle a été la victime de la part de son ex-époux (cf. attestation du 17 juillet 2013 du Centre d'accueil Malley-Prairie et rapport de suivi établi le 21 août 2012 par l'association D'M Coaching). Par ailleurs, il convient de constater que les violences physiques subies par l'intéressée au sein de son couple n'ont rien à voir avec de simples disputes qui peuvent jalonner une vie de couple, compte tenu de l'épisode du 30 mai 2009 qui a été la cause de la séparation définitive des conjoints après moins de deux mois de mariage et qui a encore été suivi, un mois plus tard, par celui du 30 juin 2009. Vu ces événements, il aurait été malséant d'attendre de l'intéressée qu'elle reprenne la vie commune, d'autant qu'ils ont nécessité une prise en charge par diverses institutions spécialisées pour les victimes de violences conjugales, à savoir notamment un séjour au Centre d'accueil Malley-Prairie du 31 mai 2009 au 2 juin 2009, cinq entretiens ambulatoires au mois de juin et juillet 2009, ainsi qu'un soutien psychologique (cf. attestations des 22 mars 2012 et 17 juillet 2013 du Centre d'accueil Malley-Prairie).</w:t>
      </w:r>
    </w:p>
    <w:p>
      <w:r>
        <w:rPr>
          <w:b/>
        </w:rPr>
        <w:t>E. 6.3</w:t>
      </w:r>
    </w:p>
    <w:p>
      <w:r>
        <w:t>Par conséquent, en considération de ce qui précède, le Tribunal parvient à la conclusion que c'est à tort que l'ODM n'a pas retenu l'existence d'une raison personnelle majeure au sens de l'art. 50 al. 1 let. b LEtr dans le présent cas, basé sur la reconnaissance de l'existence de violences conjugales au sens de l'art. 50 al. 2 LEtr, lesquelles ont mis un terme à l'union conjugale que la recourante formait avait son ex-époux. Dans ces circonstances, la situation de la recourante devant être considérée, pour elle-même déjà, comme constitutive d'une raison personnelle majeure au sens de l'art. 50 al. 2 LEtr, il est superflu d'examiner la question de sa réintégration dans son pays d'origine.</w:t>
      </w:r>
    </w:p>
    <w:p>
      <w:r>
        <w:rPr>
          <w:b/>
        </w:rPr>
        <w:t>E. 7</w:t>
      </w:r>
    </w:p>
    <w:p>
      <w:r>
        <w:t>Il s'ensuit que le recours doit être admis et la décision attaquée annulée. Statuant lui-même, le Tribunal de céans octroie l'approbation requise à la prolongation de l'autorisation de séjour de la recourante. Bien qu'elle succombe, l'autorité inférieure n'a pas à s'acquitter de frais de procédure (art. 63 al. 2 PA). Obtenant gain de cause, la recourante n'a pas à supporter de frais de procédure (art. 63 al. 1 a contrario et al. 3 PA). L'avance de 1'000 francs versée le 24 décembre 2012 lui sera restituée.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administratif fédéral estime, au regard des art. 8 ss FITAF, que le versement d'un montant de 1'500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