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C-6443/2013 vom 31. Oktober 2014</w:t>
      </w:r>
    </w:p>
    <w:p>
      <w:r>
        <w:t>Bundesverwaltungsgericht, 2014-10-31, DE</w:t>
      </w:r>
    </w:p>
    <w:p>
      <w:r>
        <w:rPr>
          <w:b/>
        </w:rPr>
        <w:t xml:space="preserve">Quelle: </w:t>
      </w:r>
      <w:r>
        <w:t>https://mcp.opencaselaw.ch/entscheid/bvger_C-6443_2013</w:t>
      </w:r>
    </w:p>
    <w:p>
      <w:r>
        <w:t>FR: TAF C-6443/2013 du 31 octobre 2014</w:t>
      </w:r>
    </w:p>
    <w:p>
      <w:r>
        <w:t>IT: TAF C-6443/2013 del 31 ottobre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w:t>
      </w:r>
    </w:p>
    <w:p>
      <w:r>
        <w:t>Soweit sich die Kritik der Beschwerdeführerin auf das Strafverfahren und den Strafbefehl vom 22. Oktober 2013 bezieht, so kann diese im vorliegenden Verfahren nicht gehört werden. Rügen in diesem Zusammenhang hätte sie im dafür vorgesehenen Instanzenzug vorbringen müssen.</w:t>
      </w:r>
    </w:p>
    <w:p>
      <w:r>
        <w:rPr>
          <w:b/>
        </w:rPr>
        <w:t>E. 4</w:t>
      </w:r>
    </w:p>
    <w:p>
      <w:r>
        <w:t>Der Rechtsvertreter bringt unter Hinweis auf das Formular "Rechtliches Gehör Wegweisung/Einreiseverbot" im Wesentlichen vor, weder die Dauer der Unterredung sei ersichtlich, noch sei ein Dolmetscher aufgeführt. Ohne explizit eine Verletzung des rechtlichen Gehörs geltend zu machen und dies zu begründen, wurde im Wesentlichen darauf hingewiesen, dass nicht aktenkundig sei, ob die Beschwerdeführerin den Inhalt des Formulars überhaupt verstanden und die Konsequenzen erkannt habe. Diesbezüglich gilt es zunächst festzuhalten, dass weder das Fehlen einer Zeitangabe, noch das Nichtaufführen des (nachweislich anwesenden) Dolmetschers geeignet sind, an der durch Unterzeichnung bestätigten Kenntnisnahme des Inhalts des Formulars zu zweifeln. Will der Rechtsvertreter sodann eine Verletzung des rechtlichen Gehörs geltend machen, so genügt es nicht, im Sinne einer pauschalen Bestreitung lediglich festzustellen, dass das - von der Beschwerdeführerin datierte und unterzeichnete - Formular nicht explizit bestätige, dass dessen Inhalt tatsächlich zur Kenntnis genommen wurde. Vielmehr muss er eine klare Rüge formulieren und diese hinreichend begründen. Dabei wäre mit konkreten Argumenten darzulegen, aus welchem Grund die Unterschrift der Beschwerdeführerin im vorliegenden Fall, entgegen der bestehenden Vermutung, nicht zu bestätigen vermag, dass sie den Sachverhalt zur Kenntnis genommen und verstanden hatte. Das blosse in Fragestellen der tatsächlichen Kenntnisnahme genügt dafür nicht. Allfällige Zweifel an der hinreichenden Gewährung des rechtlichen Gehörs sind daher als unbegründet abzuweisen.</w:t>
      </w:r>
    </w:p>
    <w:p>
      <w:r>
        <w:rPr>
          <w:b/>
        </w:rPr>
        <w:t>E. 5.1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C-4898/2012 vom 1. Mai 2014 E. 4.2 m.H).</w:t>
      </w:r>
    </w:p>
    <w:p>
      <w:r>
        <w:rPr>
          <w:b/>
        </w:rPr>
        <w:t>E. 5.3</w:t>
      </w:r>
    </w:p>
    <w:p>
      <w:r>
        <w:t>Einen Verstoss gegen die öffentliche Sicherheit und Ordnung im Sinne von Art. 67 Abs. 2 Bst. a AuG begeht u.a.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 3348/2012 vom 20. März 2014 E. 3.3 m.H.).</w:t>
      </w:r>
    </w:p>
    <w:p>
      <w:r>
        <w:rPr>
          <w:b/>
        </w:rPr>
        <w:t>E. 5.4</w:t>
      </w:r>
    </w:p>
    <w:p>
      <w:r>
        <w:t>Wird gegen eine Person, welche weder die Staatsangehörigkeit eines Mit­gliedstaates der Europäischen Union noch der Europäischen Freihandels­assoziation besitzt, ein Einreiseverbot verhängt, so wird sie nach Massgabe der Bedeutung des Falles im Schengener Informationssys­tem (SIS) zur Einreiseverweigerung ausgeschrieben (vgl. Art. 21 der N-SIS-Verordnung vom 8. März 2013 [SR 362.0] und Art. 24 der Verordnung [EG] Nr. 1987/2006 des Europäischen Parlaments und des Rates vom 20. Dezember 2006 über die Einrichtung, den Betrieb und die Nutzung des Schengener Informationssystems der zweiten Genera­tion [SIS II], ABl. L 381/4 vom 28.12.2006 [nf.: SIS-II-VO]). Damit wird dem Betroffenen grund­sätzlich die Einreise in das Hoheitsgebiet aller Mit­gliedstaaten verbo­ten (vgl. Art. 5 Abs. 1 Bst. d sowie Art. 13 Abs. 1 der Ver­ordnung [EG] Nr. 562/2006 des Europäischen Parlaments und des Ra­tes vom 15. März 2006 über einen Gemeinschaftskodex für das Über­schreiten der Grenze durch Personen [Schengener Grenzkodex], ABl. L 105/1 vom 13.4.2006 [nf.: SGK]). Die Mitgliedstaaten können den Betroffe­nen aus wich­tigen Gründen oder aufgrund internationaler Verpflich­tungen die Ein­reise in das eigene Hoheitsgebiet gestatten bzw.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6.1</w:t>
      </w:r>
    </w:p>
    <w:p>
      <w:r>
        <w:t>Das BFM stützte das Einreiseverbot allgemein auf Art. 67 AuG. Die Beschwerdeführerin sei vom 13. Juni 2013 bis 11. Juli 2013 sowie vom 19. September 2013 bis 22. Oktober 2013 in der Schweiz erwerbstätig gewesen. Aus den Akten ergibt sich, dass die Beschwerdeführerin mit Straf­befehl vom 22. Oktober 2013 wegen vorsätzlichen Vergehens gegen das Ausländergesetz verurteilt wurde. In solchen Fällen liegt grundsätzlich ein schwerer Verstoss gegen die öffentliche Sicherheit und Ordnung dar, der un­ter dem Gesichtspunkt von Art. 67 Abs. 2 Bst. a AuG Anlass für die Verfü­gung einer Fernhaltemassnahme gibt (vgl. Urteil C 3348/2012 E. 4.2).</w:t>
      </w:r>
    </w:p>
    <w:p>
      <w:r>
        <w:rPr>
          <w:b/>
        </w:rPr>
        <w:t>E. 6.2</w:t>
      </w:r>
    </w:p>
    <w:p>
      <w:r>
        <w:t>Anlässlich ihrer polizeilichen Einvernahme vom 22. Oktober 2013 sagte die Beschwerdeführerin aus, ihre Schwester sei die Frau des Pächters der Bar und besorge dort jeden Morgen die Reinigung. Da sie, ihre Schwester überallhin begleite, gehe sie ihr auch dort im Restaurant zur Hand. Sie habe ihr geholfen, obwohl sie dazu nicht verpflichtet gewesen wäre. Sodann bestätigte die Beschwerdeführerin, dass sie bei ihrem ersten Aufenthalt gelegentlich und dieses Mal regelmässig geholfen habe. Auch im Rahmen des Schriftenwechsels bestritt die Beschwerdeführerin nicht, ihrer Schwester bei der Reinigung der Bar geholfen zu haben. Doch vertritt sie die Auffassung, dass diese unentgeltliche Hilfeleistung als reine Gefälligkeit bei Feriengästen durchaus üblich sei und nicht eine Erwerbstätigkeit im Sinne von Lohnarbeit darstelle.</w:t>
      </w:r>
    </w:p>
    <w:p>
      <w:r>
        <w:rPr>
          <w:b/>
        </w:rPr>
        <w:t>E. 6.3</w:t>
      </w:r>
    </w:p>
    <w:p>
      <w:r>
        <w:t>Zunächst gilt es festzuhalten, dass nicht entscheidend ist, ob der Beschwerdeführerin für ihre Tätigkeit von ihrer Schwester allenfalls ein Entgelt ausgerichtet wurde oder nicht. Es ist ebenso wenig von Belang, ob Kost und Logis eine alternative Art der Entlöhnung darstellen oder ob die Beschwerdeführerin über hinreichende finanzielle Mittel verfügt. Denn als Erwerbstätigkeit gilt im vorliegenden Zusammenhang jede üblicherweise gegen Entgelt ausgeübte unselbstständige oder selbstständige Tätigkeit, selbst wenn sie im spezifischen Fall unentgeltlich erfolgt (Art. 11 Abs. 2 AuG). Ohne Belang für die Qualifikation als (unselbstständige) Erwerbstätigkeit ist, ob die Beschäftigung nur stunden- oder tageweise oder vorübergehend ausgeübt wird (Art. 1a Abs. 1 VZAE).</w:t>
      </w:r>
    </w:p>
    <w:p>
      <w:r>
        <w:rPr>
          <w:b/>
        </w:rPr>
        <w:t>E. 6.4</w:t>
      </w:r>
    </w:p>
    <w:p>
      <w:r>
        <w:t>Unbestritten handelt es sich bei der Reinigung einer Bar um eine Tätigkeit, welche üblicherweise gegen Entgelt verrichtet wird. Die Beschwerdeführerin selbst stellt zu Recht nicht in Abrede, anlässlich ihrer Aufenthalte in der Schweiz ihrer Schwester zunächst (im Jahr 2012) gelegentlich, danach (im Jahr 2013) regelmässig jeweils morgens, während einer Stunde pro Tag, bei der Reinigung der Bar geholfen zu haben. Sie ist jedoch der Ansicht, dass familieninterne Hilfe nicht bewilligungspflichtig sein könne, da ansonsten bei Besuchen überhaupt nicht geholfen werden dürfe, da auch für diese Tätigkeiten einfach jemand angestellt und bezahlt werden könne.</w:t>
      </w:r>
    </w:p>
    <w:p>
      <w:r>
        <w:rPr>
          <w:b/>
        </w:rPr>
        <w:t>E. 6.5</w:t>
      </w:r>
    </w:p>
    <w:p>
      <w:r>
        <w:t>Mit dieser Argumentation verkennt die Beschwerdeführerin, dass sich der ihr vorgeworfene Sachverhalt nicht auf die Unterstützung im Privatbereich bezieht. Das Reinigen eines Barbetriebs stellt eine Handlung dar, welche das gewerbliche Fortkommen fördert. Im vorliegenden Fall dürften diese täglichen Reinigungsarbeiten unmittelbar im Zusammenhang mit dem gewerblichen Fortkommen der Schwester der Beschwerdeführerin und deren Ehegatten stehen. Die wirtschaftlich motivierte Komponente grenzt die Unterstützung im Privathaushalt von der Hilfe bei Verrichten einer Erwerbstätigkeit ab und ist - besondere Konstellationen ausgenommen - immer als Erwerbstätigkeit im Sinne der ausländerrechtlichen Bestimmungen zu qualifizieren. Soweit sich die Beschwerdeführerin darauf beruft, nicht gewusst zu haben, dass ihr Verhalten strafbar sei, ist darauf hinzuweisen, dass für die Verhängung eines Einreiseverbots kein vorsätzlicher Verstoss gegen ausländerrechtliche Bestimmungen erforderlich ist, sondern eine Fernhaltemassnahme bereits dann gerechtfertigt ist, wenn der ausländischen Person eine Sorgfaltspflichtverletzung zugerechnet werden kann. Unkenntnis oder Fehlinterpretation der Einreise- oder Aufenthaltsvorschriften stellen normalerweise keinen hinreichenden Grund für ein Absehen von einer Fernhaltemassnahme dar. Von einer ausländischen Person kann denn auch erwartet werden, sich rechtzeitig über die betreffenden ausländerrechtlichen Rechte und Pflichten zu informieren (vgl. Urteil des BVGer C-4463/2008 vom 29. April 2009 E. 5.4 mit Hinweisen). Dass die Vorinstanz in Bezug auf den ersten Besuch von einer falschen Jahreszahl (2013 statt 2012) ausging ändert im Übrigen nichts an der Beurteilung.</w:t>
      </w:r>
    </w:p>
    <w:p>
      <w:r>
        <w:rPr>
          <w:b/>
        </w:rPr>
        <w:t>E. 6.6</w:t>
      </w:r>
    </w:p>
    <w:p>
      <w:r>
        <w:t>Durch die Erwerbstätigkeit ohne Bewilligung hat die Beschwerdeführerin ohne Zweifel den Fernhaltegrund nach Art. 67 Abs. 2 Bst. a AuG gesetzt. Zudem wurde sie mit Verfügung des Migrationsamtes des Kantons Zürich vom 23. Oktober 2013 aus der Schweiz weggewiesen, wobei die Wegweisung sofort vollstreckt wurde (vgl. Art. 64d Abs. 2 Bst. a AuG). Damit ist vorliegend auch der Fernhaltegrund des Art. 67 Abs. 1 Bst. a AuG erfüllt.</w:t>
      </w:r>
    </w:p>
    <w:p>
      <w:r>
        <w:rPr>
          <w:b/>
        </w:rPr>
        <w:t>E. 6.7</w:t>
      </w:r>
    </w:p>
    <w:p>
      <w:r>
        <w:t>Zusammenfassend ist festzuhalten, dass hinreichende Gründe für die Verhängung einer Fernhaltemassnahme vorliegen.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a.a.O., Rz. 613 ff.).</w:t>
      </w:r>
    </w:p>
    <w:p>
      <w:r>
        <w:rPr>
          <w:b/>
        </w:rPr>
        <w:t>E. 7.2</w:t>
      </w:r>
    </w:p>
    <w:p>
      <w:r>
        <w:t>Aufgrund obgenannter Sachverhaltsfeststellung gilt es als erwiesen, dass die Beschwerdeführerin über eine gewisse Zeit hinweg eine nicht bewilligte Erwerbstätigkeit ausübte und deshalb aus der Schweiz weggewiesen wurde. Wie bereits an obiger Stelle ausgeführt, setzt die Missachtung einer ausländerrechtlichen Bestimmung kein vorsätzliches Verhalten voraus. Im Rahmen der Interessenabwägung gilt es - abgesehen von generalpräventiven Gesichtspunkten, insbesondere der Schutz der ausländerrechtlichen Ordnung durch konsequente Massnahmenpraxis (vgl. Urteil des BVGer C-4898/2012 vom 1. Mai 2014 E. 6.2 m.H.), sowie die spezialpräventive Zielsetzung der Massnahme, die betroffene Person zu ermahnen, bei einer allfälligen künftigen Wiedereinreise in die Schweiz nach Ablauf der Dauer des Einreiseverbots die für sie geltenden Regeln einzuhalten (vgl. Urteil des BVGer C-2771/2010 vom 3. Februar 2012 E. 6.1) - die aktuelle Gefährdung der öffentlichen Ordnung und Sicherheit zu berücksichtigen. Die Beschwerdeführerin hat während ihrer Aufenthalte in der Schweiz im Jahr 2012 gelegentlich und im Jahr 2013 regelmässig ihrer Schwester bei der Reinigung der Bar geholfen. Sie hat im vorliegenden Verfahren glaubhaft dargetan, dass ihrerseits keinerlei finanziell motivierte Interessen bestanden und dass die Schwester nicht auf ihre Hilfe angewiesen war. Es erscheint nicht abwegig, dass die Beschwerdeführerin, in der Absicht, ihrer Schwester Gesellschaft zu leisten, diese jeweils zu ihren Reinigungseinsätzen in der Bar begleitet hat. Nachdem ihr die Rechtslage in der Schweiz anlässlich der polizeilichen Einvernahme vom 22. Oktober 2013 dargelegt wurde und sich die Beschwerdeführerin einsichtig gezeigt hat, erscheint es als wenig wahrscheinlich, dass sie in Zukunft erneut auf diese Weise die öffentliche Ordnung und Sicherheit verletzt. Die Gefahr weiterer gleichgelagerter Zuwiderhandlungen ist daher als gering einzuschätzen.</w:t>
      </w:r>
    </w:p>
    <w:p>
      <w:r>
        <w:rPr>
          <w:b/>
        </w:rPr>
        <w:t>E. 7.3</w:t>
      </w:r>
    </w:p>
    <w:p>
      <w:r>
        <w:t>Eine Abwägung der gegenläufigen öffentlichen und privaten Interessen führt zum Ergebnis, dass das Einreiseverbot dem Grundsatze nach zu bestätigen ist, in der ausgesprochenen Dauer von drei Jahren jedoch als unangemessen lang erscheint. Angesichts der konkreten Umstände ist davon auszugehen, dass dem öffentlichen Interesse an der Fernhaltung der Beschwerdeführerin mit einem Einreiseverbot von der bisherigen Dauer hinreichend Rechnung getragen wird.</w:t>
      </w:r>
    </w:p>
    <w:p>
      <w:r>
        <w:rPr>
          <w:b/>
        </w:rPr>
        <w:t>E. 8</w:t>
      </w:r>
    </w:p>
    <w:p>
      <w:r>
        <w:t>Aus diesen Erwägungen folgt, dass das auf drei Jahre bemessene Einreiseverbot Bundesrecht verletzt (vgl. Art. 49 VwVG). Die Beschwerde ist daher teilweise gutzuheissen und das gegen die Beschwerdeführerin verhängte Einreiseverbot auf das Datum des Urteils zu befristen.</w:t>
      </w:r>
    </w:p>
    <w:p>
      <w:r>
        <w:rPr>
          <w:b/>
        </w:rPr>
        <w:t>E. 9</w:t>
      </w:r>
    </w:p>
    <w:p>
      <w:r>
        <w:t>Die ermässigten Verfahrenskosten sind bei diesem Verfahrensausgang der Beschwerdeführerin aufzuerlegen und mit dem geleisteten Kostenvorschuss zu verrechnen (vgl. Art. 63 Abs. 1 VwVG, Art. 1, 2 und 3 Bst. b des Reglements über die Kosten und Entschädigungen vor dem Bundesverwaltungsgericht vom 21. Februar 2008 [VGKE, SR 173.320.2]). Im Umfang seines Obsiegens ist der Beschwerdeführerin eine gekürzte Parteientschädigung in gerichtlich festzusetzender Höhe zuzusprechen (Art. 64 Abs. 1 VwVG i.V.m. Art. 7 ff. VGKE).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