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C-6427/2008 vom 5. Juli 2010</w:t>
      </w:r>
    </w:p>
    <w:p>
      <w:r>
        <w:t>Bundesverwaltungsgericht, 2010-07-05, FR</w:t>
      </w:r>
    </w:p>
    <w:p>
      <w:r>
        <w:rPr>
          <w:b/>
        </w:rPr>
        <w:t xml:space="preserve">Quelle: </w:t>
      </w:r>
      <w:r>
        <w:t>https://mcp.opencaselaw.ch/entscheid/bvger_C-6427_2008</w:t>
      </w:r>
    </w:p>
    <w:p>
      <w:r>
        <w:t>FR: TAF C-6427/2008 du 5 juillet 2010</w:t>
      </w:r>
    </w:p>
    <w:p>
      <w:r>
        <w:t>IT: TAF C-6427/2008 del 5 luglio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29 al. 4 LAI). Depuis l'entrée en vigueur de l'ALCP, les ressortissants suisses et de l'Union européenne qui présentent un taux d'invalidité de 40% au moins, ont droit à un quart de rente en application de l'art. 28 al. 2 LAI à partir du 1er juin 2002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 En l'espèce, l'octroi de la rente entière par décision du 1er octobre 2002 de l'OAI-GE et la communication de reconduction pour un taux d'invalidité inchangé du 19 mai 2005 de l'OAIE sont la base de comparaison avec la décision de réduction à un quart de rente du 3 septembre 2008.</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Le litige porte sur la question de savoir si l'OAIE était fondé, par sa décision du 3 septembre 2008, à réduire à partir du 1er novembre 2008 la rente entière d'invalidité dont bénéficiait la recourante depuis le 1er avril 2002 à un quart de rente au motif d'une reconsidération de la décision du 1er octobre 2002 qualifiée de manifestement erronée. Il est en revanche constant que les conditions d'une révision au sens de l'art. 17 LPGA ne sont pas réunies en l'espèce, dans la mesure où il a été établi à dire d'experts que l'état de santé de l'intéressée ne s'est pas amélioré depuis l'octroi de la rente entière d'invalidité.</w:t>
      </w:r>
    </w:p>
    <w:p>
      <w:r>
        <w:rPr>
          <w:b/>
        </w:rPr>
        <w:t>E. 9.2</w:t>
      </w:r>
    </w:p>
    <w:p>
      <w:r>
        <w:t>Lors de l'octroi de la rente entière par décision du 1er octobre 2002, l'OAI-GE a pris en compte les rapports d'investigation des HUG et les rapports médicaux des Dr B._______, neurologue, et C._______, médecin traitant de l'assurée, ayant établi l'existence d'une polyneuropathie sensitivo-motrice axono-myélinique, d'étiologie inconnue, un état anxio-dépressif réactionnel important lié à la mise à jour de cette maladie et des cervico-dorsalgies pour discopathie C5-C6 et hernie discale L5-S1, atteintes ayant motivé l'incapacité de travail à 100% retenue par l'assureur perte de gain de l'intéressée. S'il est patent que les atteintes précitées ne permettaient plus à l'assurée d'exercer ses activités dans le nettoyage du fait des lourdeurs et de la fatigabilité accrue et rapide ressenties notamment dans les membres supérieurs, il appert que l'OAI-GE, malgré les avis exprimés par les Dr Jovanovic et B._______, médecins soignant l'intéressée, selon lesquels l'assurée ne pouvait plus exercer d'activité lucrative, n'a pas procédé à une appréciation complète du cas d'assurance. En effet, il ne ressort pas du dossier que l'OAI-GE ait examiné la capacité de travail résiduelle de l'intéressée dans des activités légères de type sédentaires ne nécessitant pas une mobilité et des efforts continus des membres supérieurs. En omettant de soumettre l'intéressée en 2002 à une évaluation de sa capacité de travail résiduelle et à une comparaison de revenus avec des activités adaptées, condition sine qua non à l'octroi d'une rente permettant de déterminer le taux d'invalidité (art. 28 al. 1 LAI), l'OAI-GE a rendu une décision fondée sur un examen incomplet du cas d'assurance et en conséquence manifes-tement erronée justifiant une reconsidération du cas d'assurance selon l'art. 53 al. 2 LPGA.</w:t>
      </w:r>
    </w:p>
    <w:p>
      <w:r>
        <w:rPr>
          <w:b/>
        </w:rPr>
        <w:t>E. 9.3</w:t>
      </w:r>
    </w:p>
    <w:p>
      <w:r>
        <w:t>L'incapacité de travail totale de l'assurée a été confirmée à nouveau en 2005, mais cette confirmation s'est faite sur la seule base de l'appréciation médicale d'un état de santé inchangé établi déjà précédemment par des rapports médicaux du Dr B._______ en 2003 et 2004 et un rapport E 213 établi par le Dr C._______ en 2004 sur le fondement erroné que l'intéressée ne pouvait exercer quelque activité lucrative que ce soit. Or le caractère erroné de la décision rendue le 1er octobre 2002 a été clairement établi par l'expertise effectuée au CEMed de Nyon les 17 et 18 janvier 2008. En premier lieu, il y a lieu de relever avec les experts du CEMed que l'assurée n'a suivi aucun traitement spécifique depuis la reconnaissance de sa maladie neuro-musculaire, qui s'est avérée au cours des années relativement stationnaire selon les rapports du Dr B._______, ni n'a bénéficié d'une assistance psychiatrique en relation avec l'important syndrome anxio-dépressif allégué depuis 2001. Deuxièmement, il y a lieu de relever que si l'intéressée a référé 12/18 points algiques à la palpation de l'examen de fibromyalgie selon Smythe ainsi que d'autres zones déclarées douloureuses, la trophicité des membres supérieurs et inférieurs fut jugée conservée et que sur le plan psychiatrique seul fut relevé une fixation démonstrative sur la pathologie somatique dans le cadre d'un quotidien bien géré et satisfaisant indépendamment de fortes douleurs subjectives perçues. Les médecins ont en outre constaté une limitation modérée du rachis cervical et lombaire, une marche sans faiblesse ni instabilité significative et sur le plan fonctionnel la nécessité d'éviter toute activité comportant l'appui sur les points de compression, notamment au niveau du coude, du poignet et du col du péroné avec la possibilité de changements de positions fréquents. Ces constatations permettent d'accréditer le fait que l'état de santé de l'intéressée est resté inchangé depuis avril 2001 et qu'elle aurait pu malgré ses atteintes à la santé exercer toute activité lucrative légère et adaptée tenant compte des restrictions précitées depuis cette même date. Il se justifie dès lors de confirmer la décision de reconsidération prise par l'OAIE reconnaissant à l'intéressée depuis avril 2001 une pleine capacité de travail dans des activités de substitution légères et adaptées. Ce faisant le Tribunal de céans, à la suite de l'OAIE, n'apprécie pas différemment un état de santé retenu en 2002 comme invalidant à 100%, mais énonce que compte tenu de la capacité de travail résiduelle de l'intéressée en 2002 son état de santé, ne lui permettant plus d'exercer son activité dans le nettoyage, lui permettait néanmoins encore d'exploiter sa capacité de travail à 100% dans des activités légères et adaptées, laquelle capacité n'avait pas été examinée dans le cadre d'un examen qui eut dû être complet du cas d'assurance comprenant une comparaison de revenus avec et sans invalidité. Or justement, par le biais d'une reconsidération, une application initiale erronée du droit, de même qu'une constatation erronée des faits peuvent être corrigées (arrêt du Tribunal fédéral 9C_71/2008 cité supra consid. 6.2).</w:t>
      </w:r>
    </w:p>
    <w:p>
      <w:r>
        <w:rPr>
          <w:b/>
        </w:rPr>
        <w:t>E. 9.4</w:t>
      </w:r>
    </w:p>
    <w:p>
      <w:r>
        <w:t>Selon la jurisprudence, il n'y a pas lieu de supprimer ou de réduire une rente par voie de reconsidération si depuis son octroi manifestement inexact des modifications de l'état de fait permettent de maintenir la rente initialement octroyée (cf. supra consid. 6.2 in fine). En l'occurrence l'assurée n'a pas démontré une modification de son état de santé déterminante au jour de la décision attaquée. Dans ses écritures en procédure de recours l'intéressée a fait valoir une aggravation de son état de santé tant somatique que psychique. Le Tribunal de céans ne peut en tenir compte dans le cadre de l'examen de la décision attaquée du fait que son pouvoir de cognition est limité au jour de la décision attaquée (ATF 129 V 1 consid. 2.1 et ATF 121 V 362 consid. 1b) sous réserve de rapports médicaux permettant une meilleure compréhension d'un status antérieur à la décision attaquée. Or, comme indiqué dans l'expertise du CEMed, il n'y a pas eu d'aggravation depuis 2001 de l'état de santé.</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11.1</w:t>
      </w:r>
    </w:p>
    <w:p>
      <w:r>
        <w:t>En l'espèce il y a lieu de procéder à une évaluation de l'invalidité selon la méthode générale par une comparaison de revenus en se référant, d'une part, au revenu qui aurait été celui de l'assurée en 2002 (ouverture du droit à la rente) et non en 2006 et, d'autre part, pour les revenus de substitution, à l'Enquête suisse sur la structure des salaires 2002 et non 2006 car la comparaison de revenus doit être faite dans le cadre d'une reconsidération de la décision du 1er octobre 2002. Cas échéant une indexation en référence à l'année de la décision attaquée doit encore être effectuée si le taux d'invalidité est proche d'un seuil de pourcentage de rente.</w:t>
      </w:r>
    </w:p>
    <w:p>
      <w:r>
        <w:rPr>
          <w:b/>
        </w:rPr>
        <w:t>E. 11.2</w:t>
      </w:r>
    </w:p>
    <w:p>
      <w:r>
        <w:t>Le revenu de l'assurée en 2002 aurait été pour son emploi principal de Fr. 57'691.- prime de fidélité comprise (cf. pce 16) et pour son emploi accessoire de Fr. 27'398.- (cf. salaire de 2001, pce 19) augmenté de 1.7% (selon indexation de 2002 pour les services de type immobilier), soit Fr. 27'863.76 et au total Fr. 85'554.76 ou Fr. 7'129.56 par mois (sur l'admissibilité du cumul d'un revenu principal et d'un revenu accessoire régulier: SVR 2008 IV n° 64 consid. 6b).</w:t>
      </w:r>
    </w:p>
    <w:p>
      <w:r>
        <w:rPr>
          <w:b/>
        </w:rPr>
        <w:t>E. 11.3</w:t>
      </w:r>
    </w:p>
    <w:p>
      <w:r>
        <w:t>Le salaire après invalidité doit être fixé sur la base des données statistiques résultant de l'Enquête suisse sur la structure des salaires 2002 (table TA1; ATF 126 V 75 consid. 3b/aa et bb). En l'occurrence il y a lieu de prendre le revenu moyen de Fr. 3'820.- pour 40 h./sem. du niveau de qualification 4 correspondant à des activités simples et répétitives toutes branches confondues, soit Fr. 3'991.90 pour 41.8 h./sem. (selon le temps de travail hebdomadaire moyen tous secteurs confondus) sous déduction de 5% pour tenir compte de l'âge de l'assurée (40 ans en 2002) et de ses restrictions personnelles aux activités légères, soit Fr. 3'792.30. Un nombre suffisant d'entre elles peuvent être exercées sans efforts moyennement importants autorisant des changements de position et la mobilité des membres supérieurs sans port de charges d'un certain poids. De plus, un grand nombre de postes tous secteurs confondus ne nécessite pas de formation particulière autre qu'une mise au courant initiale. L'abattement de 5% retenu par l'OAIE n'est pas arbitraire, compte tenu de l'âge de l'assurée et du fait que sa capacité de travail résiduelle est de 100% et non moindre, ce qui d'expérience entraînerait une diminution du salaire par comparaison à un emploi à plein temps (cf. l'arrêt du Tribunal fédéral I 870/05 du 2 mai 2007 consid. 9 et les nombreuses références citées) et qui aurait pu justifier un abattement du revenu avec invalidité un peu supérieur (cf. en général l'ATF 126 cité consid. 5b/aa-cc). D'autre part, il n'appartient pas au Tribunal de céans de substituer son appréciation à celle de l'administration si tant est que celle-ci n'est pas arbitraire (ATF 126 cité consid. 6; arrêt du Tribunal fédéral I 133/07 du 21 janvier 2008 consid. 2.3).</w:t>
      </w:r>
    </w:p>
    <w:p>
      <w:r>
        <w:rPr>
          <w:b/>
        </w:rPr>
        <w:t>E. 11.4</w:t>
      </w:r>
    </w:p>
    <w:p>
      <w:r>
        <w:t>En comparant le salaire avant invalidité de Fr. 7'129.56 avec celui après invalidité de Fr. 3'792.30, on obtient en 2002 une perte de gain de 46.80% arrondie à 47% ([7'129.56 - 3'792.30] : 7'129.56 x 100). Même indexés valeurs 2008, année de la décision de reconsidération attaquée, les revenus comparés ne permettent pas d'atteindre une perte de gain de 50%. En effet, le revenu de Fr. 57'691.- valeur 2002 indexé selon les variations de salaire du secteur public (l'employeur principal de l'intéressée y ressortit) de 1.4%, 0.6%, 1.1%, 1.1%, 1.6% et 2.5% de 2003 à 2008 se serait monté à Fr. 62'641.75 en 2008 et le salaire de Fr. 27'863.76 valeur 2002 indexé selon les variations de salaire des services pour les immeubles de 2.4%, 1.8%, 1.0%, 0.9%, 2.1% et 2.1% de 2003 à 2008 se serait monté à Fr. 30'856.84 en 2008, totalisant Fr. 93'498.59 en 2008. Ce montant, comparé à celui de Fr. 45'507.60 (Fr. 3'792.30 x 12) valeur 2002, indexé selon les variations moyennes des salaires tous secteurs confondus de 1.4%, 0,9%, 1.0%, 1.2%, 1.6% et 2.0% de 2003 à 2008, se serait monté à Fr. 49'318.38 en 2008 entraînant une perte de gain de 47.25% ([93'498.59 - 49'318.38] : 93'498.59 x 100 = 47.25%) ouvrant à l'assurée toujours le droit à un quart de rente d'invalidité. Il appert de ce qui précède que le recours doit être rejeté et la décision attaquée confirmée.</w:t>
      </w:r>
    </w:p>
    <w:p>
      <w:r>
        <w:rPr>
          <w:b/>
        </w:rPr>
        <w:t>E. 12.1</w:t>
      </w:r>
    </w:p>
    <w:p>
      <w:r>
        <w:t>Les frais de procédure, fixés à CHF 300.-, sont mis à la charge de la recourante (art. 63 al. 1 PA, applicable par le truchement de l'art. 37 LTAF). Ils sont compensés par l'avance de frais du même montant dont elle s'est acquittée au cours de l'instruction.</w:t>
      </w:r>
    </w:p>
    <w:p>
      <w:r>
        <w:rPr>
          <w:b/>
        </w:rPr>
        <w:t>E. 12.2</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