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C-6423/2014 vom 17. März 2015</w:t>
      </w:r>
    </w:p>
    <w:p>
      <w:r>
        <w:t>Bundesverwaltungsgericht, 2015-03-17, DE</w:t>
      </w:r>
    </w:p>
    <w:p>
      <w:r>
        <w:rPr>
          <w:b/>
        </w:rPr>
        <w:t xml:space="preserve">Quelle: </w:t>
      </w:r>
      <w:r>
        <w:t>https://mcp.opencaselaw.ch/entscheid/bvger_C-6423_2014</w:t>
      </w:r>
    </w:p>
    <w:p>
      <w:r>
        <w:t>FR: TAF C-6423/2014 du 17 mars 2015</w:t>
      </w:r>
    </w:p>
    <w:p>
      <w:r>
        <w:t>IT: TAF C-6423/2014 del 17 marzo 2015</w:t>
      </w:r>
    </w:p>
    <w:p>
      <w:pPr>
        <w:pStyle w:val="Heading2"/>
      </w:pPr>
      <w:r>
        <w:t>Regeste</w:t>
      </w:r>
    </w:p>
    <w:p>
      <w:r>
        <w:t>Rückvergütung von Beiträgen</w:t>
      </w:r>
    </w:p>
    <w:p>
      <w:pPr>
        <w:pStyle w:val="Heading2"/>
      </w:pPr>
      <w:r>
        <w:t>Erwägungen</w:t>
      </w:r>
    </w:p>
    <w:p>
      <w:r>
        <w:rPr>
          <w:b/>
        </w:rPr>
        <w:t>E. 1</w:t>
      </w:r>
    </w:p>
    <w:p>
      <w:r>
        <w:t>Die Beschwerde wird gutgeheissen und die angefochtene Verfügung vom 19. September 2014 wird aufgehoben. Die Akten werden zur Abklärung des Anspruchs auf eine Altersrente gegebenenfalls in Form einer einmaligen Abfindung an die Vorinstanz zurückgewiesen.</w:t>
      </w:r>
    </w:p>
    <w:p>
      <w:r>
        <w:rPr>
          <w:b/>
        </w:rPr>
        <w:t>E. 2</w:t>
      </w:r>
    </w:p>
    <w:p>
      <w:r>
        <w:t>Es werden keine Verfahrenskosten erhoben.</w:t>
      </w:r>
    </w:p>
    <w:p>
      <w:r>
        <w:rPr>
          <w:b/>
        </w:rPr>
        <w:t>E. 3</w:t>
      </w:r>
    </w:p>
    <w:p>
      <w:r>
        <w:t>Dem Beschwerdeführer wird zu Lasten der Vorinstanz eine Parteientschädigung in der Höhe von Fr. 1000.- zugesprochen.</w:t>
      </w:r>
    </w:p>
    <w:p>
      <w:r>
        <w:rPr>
          <w:b/>
        </w:rPr>
        <w:t>E. 4</w:t>
      </w:r>
    </w:p>
    <w:p>
      <w:r>
        <w:t>Dieses Urteil geht an: - den Beschwerdeführer (Gerichtsurkunde; Beilagen: Doppel der Vernehmlassung vom 30. Januar 2015) - die Vorinstanz (Ref-Nr. [...]; Einschreiben) - das Bundesamt für Sozialversicherungen (Einschreiben)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