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C-6423/2010 vom 25. März 2011</w:t>
      </w:r>
    </w:p>
    <w:p>
      <w:r>
        <w:t>Bundesverwaltungsgericht, 2011-03-25, FR</w:t>
      </w:r>
    </w:p>
    <w:p>
      <w:r>
        <w:rPr>
          <w:b/>
        </w:rPr>
        <w:t xml:space="preserve">Quelle: </w:t>
      </w:r>
      <w:r>
        <w:t>https://mcp.opencaselaw.ch/entscheid/bvger_C-6423_2010</w:t>
      </w:r>
    </w:p>
    <w:p>
      <w:r>
        <w:t>FR: TAF C-6423/2010 du 25 mars 2011</w:t>
      </w:r>
    </w:p>
    <w:p>
      <w:r>
        <w:t>IT: TAF C-6423/2010 del 25 marzo 2011</w:t>
      </w:r>
    </w:p>
    <w:p>
      <w:pPr>
        <w:pStyle w:val="Heading2"/>
      </w:pPr>
      <w:r>
        <w:t>Regeste</w:t>
      </w:r>
    </w:p>
    <w:p>
      <w:r>
        <w:t>Droit à la rente</w:t>
      </w:r>
    </w:p>
    <w:p>
      <w:pPr>
        <w:pStyle w:val="Heading2"/>
      </w:pPr>
      <w:r>
        <w:t>Erwägungen</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des prestations doit être examiné en l'espèce à l'aune des modifications de la LAI consécutives à la 5ème révision de cette loi (cf. arrêt du Tribunal fédéral 8C_249/2010 du 1er juin 2010 consid. 2.1 et la référence citée). Les dispositions de la LAI mentionnées ci-après sont donc celles en vigueur dès le 1er janvier 2008.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la recourante avait droit à une rente le 19 mai 2010 (6 mois après le dépôt de la demande) ou si le droit à une rente était né entre cette date et le 6 août 2010,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il est admis que la recourante souffre de crises d'épilepsie, d'hypothyroïdie et de lumboarthrose (pces TAF 1 p. 3-4, 32 p. 8 n° 7, 40 p. 1). Le litige porte sur les répercussions de ces affections sur la capacité de travail de l'assurée, singulièrement sur le point de savoir si celle-ci présente un taux d'invalidité suffisant pour prétendre à des prestations de l'assurance-invalidité.</w:t>
      </w:r>
    </w:p>
    <w:p>
      <w:r>
        <w:rPr>
          <w:b/>
        </w:rPr>
        <w:t>E. 10</w:t>
      </w:r>
    </w:p>
    <w:p>
      <w:r>
        <w:t>Dans un rapport médical E 213 du 21 décembre 2009, faisant suite à un examen de la recourante en date du 11 décembre 2009, le Dr B._______ fait état d'une patiente en bon état général y compris sur le plan psychique (pce 32 p. 3 n° 4.1). En ce qui concerne l'appareil locomoteur, il indique l'absence de disfonctionnement de la colonne vertébrale (qui ne donne pas lieu à des souffrances radiculaires) ainsi que des membres inférieurs et supérieurs (pce 32 p. 5 n° 4.8). Au niveau neurologique il signale des mouvements et une marche normaux (pce 32 p. 5 n° 4.10). Il conclut que l'intéressée est en mesure d'exercer une activité mi-lourde à temps complet moyennant certaines limitations, à savoir pas d'activités pouvant mettre l'assurée ou des tiers en danger, pas de travaux l'exposant à la chaleur, au froid ou à des risques de chutes, pas de travail posté et précise que la dernière activité exercée par l'assurée dans l'industrie du textile est exigible de sa part sur le plan médical (pce 32 p. 8-10). Par la suite, cette évaluation est corroborée par la prise de position du 17 avril 2010 établie par le Dr C._______, de l'OAIE, qui relève que l'épilepsie et l'hypothyroïdie font l'objet d'un traitement médicamenteux (avec également suivi neurologique de l'épilepsie) et qui exclut une incapacité de travail significative de l'assurée dans l'activité habituelle ou dans des travaux de substitution (pce 40). Cela étant, force est de constater que les autres rapports médicaux versés au dossier - par ailleurs tous antérieurs au rapport E 213 précité mis à part le rapport du 18 mars 2010 qui n'apporte aucun élément nouveau (pce 33) - ne se prononcent pas sur la capacité de travail de l'assurée et ne contiennent aucun élément susceptible de remettre en cause les avis convaincants retenus par les Drs B._______ et C._______. En outre, on observe que, dans la présente procédure de recours (cf. mémoire de recours daté du 7 septembre 2010 [pce TAF 1] et réplique du 3 mars 2011 [pce TAF 9]), la recourante n'a pas présenté de nouveaux documents médicaux ou des arguments pertinents aptes à ébranler le bien-fondé des points de vue précités. Bien plutôt, dans sa réplique du 3 mars 2011, elle se réfère expressément aux constats mentionnés dans le rapport médical E 213 du 21 décembre 2009 pour fonder son argumentation. Or comme mentionné ci-dessus, ce document n'est d'aucun secours à la recourante puisqu'il retient que les affections dont est atteinte l'intéressée n'engendrent pas d'incapacité de travail dans sa dernière activité exercée. Dans ces conditions, le Tribunal de céans ne peut que conclure que la recourante présente une capacité de travail entière dans la dernière activité exercée dans une fabrique de textile.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et ATF 114 V 285 consid. 3).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Eu égard à ce qui précède, il appert que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13</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par la recourante.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