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C-6423/2009 vom 29. Oktober 2010</w:t>
      </w:r>
    </w:p>
    <w:p>
      <w:r>
        <w:t>Bundesverwaltungsgericht, 2010-10-29, DE</w:t>
      </w:r>
    </w:p>
    <w:p>
      <w:r>
        <w:rPr>
          <w:b/>
        </w:rPr>
        <w:t xml:space="preserve">Quelle: </w:t>
      </w:r>
      <w:r>
        <w:t>https://mcp.opencaselaw.ch/entscheid/bvger_C-6423_2009</w:t>
      </w:r>
    </w:p>
    <w:p>
      <w:r>
        <w:t>FR: TAF C-6423/2009 du 29 octobre 2010</w:t>
      </w:r>
    </w:p>
    <w:p>
      <w:r>
        <w:t>IT: TAF C-6423/2009 del 29 ottobre 2010</w:t>
      </w:r>
    </w:p>
    <w:p>
      <w:pPr>
        <w:pStyle w:val="Heading2"/>
      </w:pPr>
      <w:r>
        <w:t>Regeste</w:t>
      </w:r>
    </w:p>
    <w:p>
      <w:r>
        <w:t>Zulassungen (inkl. Änderungen)</w:t>
      </w:r>
    </w:p>
    <w:p>
      <w:pPr>
        <w:pStyle w:val="Heading2"/>
      </w:pPr>
      <w:r>
        <w:t>Erwägungen</w:t>
      </w:r>
    </w:p>
    <w:p>
      <w:r>
        <w:rPr>
          <w:b/>
        </w:rPr>
        <w:t>E. 1</w:t>
      </w:r>
    </w:p>
    <w:p>
      <w:r>
        <w:t>Das Bundesverwaltungsgericht ist gemäss Art. 31 des Verwaltungsgerichtsgesetzes vom 17. Juni 2005 (VGG, SR 173.32) in Verbindung mit Art. 33 Bst. e VGG, Art. 68 Abs. 2 HMG und Art. 84 Abs. 1 HMG für die Behandlung der vorliegenden Beschwerde zuständig.</w:t>
      </w:r>
    </w:p>
    <w:p>
      <w:r>
        <w:rPr>
          <w:b/>
        </w:rPr>
        <w:t>E. 2</w:t>
      </w:r>
    </w:p>
    <w:p>
      <w:r>
        <w:t>Das Bundesverwaltungsgericht prüft von Amtes wegen, ob die Prozessvoraussetzungen vorliegen und auf eine Beschwerde einzutreten ist (BVGE 2007/6 E. 1 mit Hinweisen).</w:t>
      </w:r>
    </w:p>
    <w:p>
      <w:r>
        <w:rPr>
          <w:b/>
        </w:rPr>
        <w:t>E. 3</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zum Gegenstand haben: Begründung, Änderung oder Aufhebug von Rechten oder Pflichten (Art. 5 Abs. 1 Bst. a VwVG); Feststellung des Bestehens, Nichtbestehens oder Umfangs von Rechten oder Pflichten (Art. 5 Abs. 1 Bst. b VwVG); Abweisung von Begehren auf Begründung, Änderung, Aufhebung oder Feststellung von Rechten oder Pflichten, oder Nichteintreten auf solche Begehren (Art. 5 Abs. 1 Bst. c VwVG).</w:t>
      </w:r>
    </w:p>
    <w:p>
      <w:r>
        <w:rPr>
          <w:b/>
        </w:rPr>
        <w:t>E. 3.1</w:t>
      </w:r>
    </w:p>
    <w:p>
      <w:r>
        <w:t>Die Beschwerdeführerin hat mit der Beschwerde vom 12. Oktober 2009 keine angefochtene Verfügung eingereicht. In der Beschwerdeschrift weist sie darauf hin, die Beschwerde erfolge rein vorsorglich zur Wahrung der Beschwerdefrist. Die Beschwerde richte sich gegen den Erstanmelderschutz von A._______. Es fragt sich daher, welche Anordnung mit der Beschwerde angefochten wird.</w:t>
      </w:r>
    </w:p>
    <w:p>
      <w:r>
        <w:rPr>
          <w:b/>
        </w:rPr>
        <w:t>E. 3.2</w:t>
      </w:r>
    </w:p>
    <w:p>
      <w:r>
        <w:t>Die Beschwerdeführerin nimmt in der Beschwerdeschrift insofern Bezug auf die Verfügung der Vorinstanz vom 1. Oktober 2009, als sie zur Begründung ihres Rechtsbegehrens anführt, mit der Verfügung vom 1. Oktober 2009 habe sich die Vorinstanz geweigert, den der Beschwerdegegnerin mit Verfügung vom 18. September 2002 gewährten 10-jährigen Erstanmelderschutz für A._______ zu überprüfen.</w:t>
      </w:r>
    </w:p>
    <w:p>
      <w:r>
        <w:rPr>
          <w:b/>
        </w:rPr>
        <w:t>E. 3.2.1</w:t>
      </w:r>
    </w:p>
    <w:p>
      <w:r>
        <w:t>Die Verfügung der Vorinstanz vom 1. Oktober 2009 ist ein Nichteintretensentscheid auf das Gesuch der Beschwerdeführerin vom 10. September 2010 um Wiedererwägung der Verfügung der Vorinstanz vom 18. August 2009; Letztere bildet Gegenstand des hängigen Beschwerdeverfahrens C-5727/2009 vor dem Bundesverwaltungsgericht. Auf das Wiedererwägungsgesuch vom 10. September 2009 ist die Vorinstanz nicht eingetreten, weil sie die Voraussetzungen für ein Rückkommen auf die Verfügung vom 18. August 2009 als nicht erfüllt erachtete. Sie hielt dafür, die Gesuchstellerin mache weder das Vorliegen neuer erheblicher Tatsachen geltend, noch vermöge sie ein Übersehen aktenkundiger erheblicher Tatsachen glaubhaft darzutun. Vielmehr bemühe sich die Gesuchstellerin mit der Eingabe vom 10. September 2009 darum, eine neue Würdigung der beim Entscheid bereits bekannten Tatsachen herbeizuführen. Im Rahmen einer Beschwerde gegen einen Nichteintretensentscheid können keine Begehren mit Bezug auf die Sache selbst gestellt werden (vgl. ANDRÉ MOSER, in: Christoph Auer / Markus Müller / Benjamin Schindler [Hrsg.], Kommentar zum Bundesgesetz über das Verwaltungsverfahren [VwVG], Zürich / St. Gallen 2008, Art. 52 Rz. 3). Deswegen könnte die Beschwerdeführerin, wollte sie den Nichteintretensentscheid vom 1. Oktober 2009 anfechten, lediglich beantragen, dieser sei aufzuheben und die Vorinstanz habe auf das Wiedererwägungsgesuch vom 10. September 2009 einzutreten. Entsprechende Anträge hat die Beschwerdeführerin nicht gestellt.</w:t>
      </w:r>
    </w:p>
    <w:p>
      <w:r>
        <w:rPr>
          <w:b/>
        </w:rPr>
        <w:t>E. 3.2.2</w:t>
      </w:r>
    </w:p>
    <w:p>
      <w:r>
        <w:t>Die Beschwerdeführerin bestreitet in ihrer Stellungnahme vom 9. September 2010, dass die Verfügung vom 1. Oktober 2009 ein Prozessentscheid ist. Sie begründet dies folgendermassen: Mit Verfügung vom 18. September 2002 habe die Vorinstanz der Beschwerdegegnerin für A._______ einen Erstanmelderschutz von 10 Jahren gewährt. Mit Verfügung vom 1. Oktober 2009 habe sie sich geweigert, diesen zu widerrufen, und dessen Richtigkeit bestätigt. Die Einschränkung, wonach gegen einen Nichteintretensentscheid keine Anträge in Bezug auf die Sache gestellt werden könnten, finde auf die vorliegende Beschwerde keine Anwendung. Die Vorinstanz habe erklärt, sie habe im Rahmen des Zulassungsverfahrens eine umfassende Abklärung vorgenommen und alle relevanten Tatsachen mitberücksichtigt. Die Weigerung, den Erstanmelderschutz zu überprüfen, stelle deshalb keinen Nichteintretensentscheid, sondern einen Sachentscheid dar. Diese Schlussfolgerung ist unzutreffend. Für die Frage, ob eine Anordnung einen Prozess- oder einen Sachentscheid darstellt, ist nicht der Umfang oder die Intensität der behördlichen Abklärungen massgeblich, sondern der Inhalt der Anordnung selbst. Im vorliegenden Fall ist die Vorinstanz mit Verfügung vom 1. Oktober 2009 auf das Wiedererwägungsgesuch der Beschwerdeführerin betreffend Zulassung von T._______, Filmtabletten nicht eingetreten. Die hierfür getroffenen Abklärungen dienen lediglich der Begründung des Dispositivs. An der Anordnung, auf das Wiedererwägungsgesuch werde nicht eingetreten, vermag die Tatsache getroffener Abklärungen indessen nichts zu ändern.</w:t>
      </w:r>
    </w:p>
    <w:p>
      <w:r>
        <w:rPr>
          <w:b/>
        </w:rPr>
        <w:t>E. 3.2.3</w:t>
      </w:r>
    </w:p>
    <w:p>
      <w:r>
        <w:t>Die Beschwerdeführerin beantragt weder in der Beschwerde vom 12. Oktober 2009 noch in der Stellungnahme vom 9. September 2010 die Aufhebung der Verfügung vom 1. Oktober 2009. Vielmehr weist sie ausdrücklich darauf hin, die Beschwerde richte sich gegen den Erstanmelderschutz von A._______, und spricht von der "Anfechtung des Erstanmelderschutzes", zu der sie legitimiert sei. Nachdem das Bundesverwaltungsgericht den Verfahrensbeteiligten seine Absicht mitgeteilt hatte, auf die Beschwerde wegen Fehlens eines tauglichen Anfechtungsobjekts nicht einzutreten, änderte die Beschwerdeführerin ihre Beschwerdebegründung ab. In ihrer Stellungnahme vom 9. September 2010 machte sie nunmehr geltend, die Beschwerde richte sich gegen die Weigerung der Vorinstanz, den für A._______ gewährten Erstanmelderschutz zu überprüfen. Neu reichte die Beschwerdeführerin die Verfügungen vom 18. August 2009 und vom 1. Oktober 2009 ein und deklarierte letztere implizit als Anfechtungsobjekt. Gleichwohl beantragte die Beschwerdeführerin in der Stellungnahme vom 9. September 2010 wiederum nicht die Aufhebung der Verfügung vom 1. Oktober 2009, sondern einzig den Widerruf des Erstanmelderschutzes für A._______. Damit liegt eindeutig kein Antrag vor, der sich auf die in der Verfügung vom 1. Oktober 2009 getroffene Anordnung bezieht. Mit der Beschwerde vom 12. Oktober 2009 hat die Beschwerdeführerin somit offensichtlich nicht den Nichteintretensentscheid vom 1. Oktober 2009 angefochten. Letzterer scheidet daher als mögliches Anfechtungsobjekt aus. Selbst wenn die Verfügung vom 1. Oktober 2009 als Anfechtungsobjekt qualifiziert würde, wäre mangels rechtsgenüglicher Antragstellung und Begründung auf die Beschwerde nicht einzutreten.</w:t>
      </w:r>
    </w:p>
    <w:p>
      <w:r>
        <w:rPr>
          <w:b/>
        </w:rPr>
        <w:t>E. 3.3</w:t>
      </w:r>
    </w:p>
    <w:p>
      <w:r>
        <w:t>Die Beschwerdeführerin nennt in ihrer Stellungnahme vom 9. September 2010 als Anfechtungsobjekt die "Weigerung der Vorinstanz, den für A._______ gewährten Erstanmelderschutz von 10 Jahren zu überprüfen". Gegen die in der Zwischenverfügung des Bundesverwaltungsgerichts vom 6. August 2010 niedergelegte Erwägung, für den Widerruf einer rechtskräftigen Verfügung sei nicht das Bundesverwaltungsgericht, sondern die Vorinstanz zuständig, bringt die Beschwerdeführerin vor, sie habe von der Einreichung eines formellen Gesuchs bei der Vorinstanz absehen dürfen, weil dieses Gesuch aussichtslos gewesen wäre. Die Vorinstanz habe ihre Weigerung, den Erstanmelderschutz zu überprüfen, in der Verfügung vom 1. Oktober 2009 zum Ausdruck gebracht. Deswegen werde die Aufhebung des Erstanmelderschutzes direkt beim Gericht beantragt. Dieser Argumentation kann nicht gefolgt werden. Die Beschwerdeführerin vermischt die in einer Verfügung getroffene Anordnung mit der zugrunde liegenden Begründung. Richtig ist, dass die Vorinstanz ihren Nichteintretensentscheid vom 1. Oktober 2010 u.a. damit begründet hat, sie sei zum Schluss gekommen, dass der Erstanmelderschutz noch bis zum 18. September 2012 Bestand habe und somit kein Grund für eine Wiedererwägung der Verfügung vom 18. September bestehe. Indem die Beschwerdeführerin die "Weigerung, den Erstanmelderschutz zu überprüfen" anficht, macht sie die Begründung für den Nichteintretensentschied vom 1. Oktober 2009 zum Anfechtungsobjekt. Dies ist unzulässig, da gemäss Art. 44 VwVG nur eine Anordnung im Sinn von Art. 5 VwVG bzw. gemäss Art. 46a VwVG eine auf Gesuch hin verweigerte Anordnung, nicht aber die zugehörige Begründung Gegenstand einer Beschwerde sein kann. Im vorliegenden Fall kommt hinzu, dass ein Teil der Begründung der Vorinstanz für den Nichteintretensentscheid vom 1. Oktober 2009, nämlich der von der Vorinstanz geltend gemachte Bestand des Erstanmelderschutzes bis zum 18. September 2012, auch der Verfügung der Vorinstanz vom 18. August 2009 zugrunde liegt, welche von der Beschwerdeführerin ebenfalls angefochten wurde. Die Beschwerdeführerin verfolgt somit im vorliegenden Verfahren den gleichen Zweck wie im Verfahren C-5727/2009: Sie will erreichen, dass die Vorinstanz auf das Zulassungsgesuch vom 15. Juli 2009 eintritt und im Zuge der Behandlung des Gesuchs der Beschwerdegegnerin den Erstanmelderschutz für A._______ entzieht. Die Frage, ob die Verfügung vom 18. August 2009 rechtmässig ist, ist jedoch nicht Gegenstand des vorliegenden Verfahrens. Festzuhalten bleibt, dass die "Weigerung, den Erstanmelderschutz für A._______ zu überprüfen", vorliegend keine Anordnung im Rechtssinn darstellt, weil die Vorinstanz über den Entzug des Erstanmelderschutzes nie zu befinden hatte. Die entsprechende "Weigerung" der Vorinstanz ist folglich einer Anfechtung nicht zugänglich.</w:t>
      </w:r>
    </w:p>
    <w:p>
      <w:r>
        <w:rPr>
          <w:b/>
        </w:rPr>
        <w:t>E. 4</w:t>
      </w:r>
    </w:p>
    <w:p>
      <w:r>
        <w:t>Zusammenfassend ist festzustellen, dass es im vorliegenden Verfahren an einem tauglichen Anfechtungsobjekt fehlt. Demnach ist auf die Beschwerde nicht einzutreten.</w:t>
      </w:r>
    </w:p>
    <w:p>
      <w:r>
        <w:rPr>
          <w:b/>
        </w:rPr>
        <w:t>E. 5</w:t>
      </w:r>
    </w:p>
    <w:p>
      <w:r>
        <w:t>Aufgrund des Ergebnisses erweist sich der Verfahrensantrag, einer allfälligen Beschwerde gegen den Sachentscheid sei die aufschiebende Wirkung zu entziehen, als hinfällig. Auch die übrigen prozessualen Anträge der Beschwerdeführerin sind gegenstandslos geworden, nachdem das im Verfahren C-5727/2009 gestellte Gesuch um vorsorgliche Massnahmen rechtskräftig erledigt worden ist.</w:t>
      </w:r>
    </w:p>
    <w:p>
      <w:r>
        <w:rPr>
          <w:b/>
        </w:rPr>
        <w:t>E. 6</w:t>
      </w:r>
    </w:p>
    <w:p>
      <w:r>
        <w:t>Bei diesem Ausgang des Verfahrens sind die Kosten von Fr. 3'000.- der unterliegenden Beschwerdeführerin zu auferlegen (Art. 63 Abs. 1 VwVG in Verbindung mit Art. 4 des Reglements vom 21. Februar 2008 über die Kosten und Entschädigungen vor dem Bundesverwaltungsgericht [VGKE, SR 173.320.2]). Die obsiegende Beschwerdegegnerin hat Anspruch auf eine Parteientschädigung für die ihr erwachsenen notwendigen Kosten (Art. 7 Abs. 1 VGKE). Die Parteientschädigung für Beschwerdeverfahren vor dem Bundesverwaltungsgericht umfasst die Kosten der Vertretung sowie allfällige weitere notwendige Auslagen der Partei (Art. 8 Abs. 1 VGKE). Das Honorar ist nach dem notwendigen Zeitaufwand des Vertreters oder der Vertreterin zu bemessen, wobei der Stundenansatz für Anwälte und Anwältinnen mindestens 200 und höchstens 400 Franken (exkl. Mehrwertsteuer) beträgt (Art. 10 Abs. 1 und 2 VGKE). Im vorliegenden Fall ist der notwendige Zeitaufwand des Rechtsvertreters der Beschwerdegegnerin mit 12 Stunden à Fr. 250.- zu veranschlagen, ausmachend ein Honorar von Fr. 3'000.- zuzüglich Mehrwertsteuer von 7.6 %, woraus die Summe von Fr. 3'228.- resultiert. Die Spesen sind in Anwendung von Art. 11 Abs. 3 VGKE pauschal mit Fr. 200.- zu vergüten. Daraus ergibt sich eine Parteientschädigung zugunsten der Beschwerdegegnerin von total Fr. 3'428.-. Diese ist von der Beschwerdeführerin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