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C-6422/2012 vom 1. Oktober 2014</w:t>
      </w:r>
    </w:p>
    <w:p>
      <w:r>
        <w:t>Bundesverwaltungsgericht, 2014-10-01, DE</w:t>
      </w:r>
    </w:p>
    <w:p>
      <w:r>
        <w:rPr>
          <w:b/>
        </w:rPr>
        <w:t xml:space="preserve">Quelle: </w:t>
      </w:r>
      <w:r>
        <w:t>https://mcp.opencaselaw.ch/entscheid/bvger_C-6422_2012</w:t>
      </w:r>
    </w:p>
    <w:p>
      <w:r>
        <w:t>FR: TAF C-6422/2012 du 1 octobre 2014</w:t>
      </w:r>
    </w:p>
    <w:p>
      <w:r>
        <w:t>IT: TAF C-6422/2012 del 1 ottobre 2014</w:t>
      </w:r>
    </w:p>
    <w:p>
      <w:pPr>
        <w:pStyle w:val="Heading2"/>
      </w:pPr>
      <w:r>
        <w:t>Regeste</w:t>
      </w:r>
    </w:p>
    <w:p>
      <w:r>
        <w:t>Einreiseverbot</w:t>
      </w:r>
    </w:p>
    <w:p>
      <w:pPr>
        <w:pStyle w:val="Heading2"/>
      </w:pPr>
      <w:r>
        <w:t>Erwägungen</w:t>
      </w:r>
    </w:p>
    <w:p>
      <w:r>
        <w:rPr>
          <w:b/>
        </w:rPr>
        <w:t>E. 1.1</w:t>
      </w:r>
    </w:p>
    <w:p>
      <w:r>
        <w:t>Verfügungen des BFM,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2012/21 E. 5.1).</w:t>
      </w:r>
    </w:p>
    <w:p>
      <w:r>
        <w:rPr>
          <w:b/>
        </w:rPr>
        <w:t>E. 3.1</w:t>
      </w:r>
    </w:p>
    <w:p>
      <w:r>
        <w:t>Der Beschwerdeführer rügt in formeller Hinsicht eine Verletzung des Anspruchs auf rechtliches Gehör (vgl. Art. 29 Abs. 2 BV und Art. 29 ff. VwVG). Die Vorinstanz habe das Einreiseverbot erlassen, ohne ihm vorgängig überhaupt beziehungsweise in korrekter Weise Gelegenheit zur Stellungnahme eingeräumt zu haben. Im Weiteren sei die Verfügung nur mangelhaft begründet worden.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3.3.1</w:t>
      </w:r>
    </w:p>
    <w:p>
      <w:r>
        <w:t>Entgegen seiner Behauptung hatte der Beschwerdeführer durchaus Gelegenheit, vor Erlass der Fernhaltemassnahme Stellung zu nehmen (vgl. Sachverhalt Bst. E). Sein damaliger Rechtsvertreter beanstandete in seiner Eingabe vom 5. November 2012 zwar zu Recht den Umstand, dass die Migrationsbehörde des Kantons Luzern eine Frist von lediglich 13 Tagen (wovon 8 Arbeitstage) gewährte und diese von vornherein als nicht erstreckbar erklärte. Die Fristansetzung und die Tatsache, dass die kantonale Migrationsbehörde auf ein trotzdem noch gestelltes Erstreckungsgesuch nicht mehr reagierte, waren sicherlich problematisch, zumal sich der Beschwerdeführer zu diesem Zeitpunkt schon im Ausland aufhielt. Andererseits waren dem Rechtsvertreter die Verhältnisse und persönlichen Interessen des Beschwerdeführers bereits bekannt, hatte er diesen doch schon im Verfahren vor dem kantonalen Verwaltungsgericht in Sachen Widerruf der Niederlassungsbewilligung vertreten. In seiner Stellungnahme vom 5. November 2012 äusserte er sich denn auch eingehend zur aus der Sicht des Beschwerdeführers vorzunehmenden Interessenabwägung sowie zum zeitlichen und räumlichen Umfang eines allenfalls noch als verhältnismässig erachteten Einreiseverbots.</w:t>
      </w:r>
    </w:p>
    <w:p>
      <w:r>
        <w:rPr>
          <w:b/>
        </w:rPr>
        <w:t>E. 3.3.2</w:t>
      </w:r>
    </w:p>
    <w:p>
      <w:r>
        <w:t>Dass sich die kantonale Migrationsbehörde bei Gewährung des rechtlichen Gehörs nicht auch schon zur Dauer eines allfälligen Einreiseverbots äusserte, kann nicht als Mangel erachtet werden. Der Beschwerdeführer übersieht bei seinem Einwand, dass die Aufforderung zur Stellungnahme eben gerade dazu dienen sollte, die gegenläufigen persönlichen Interessen zu erfassen, welche ihrerseits wiederum wesentlich waren für den Entscheid, ob und falls ja, in welchem Umfang ein Einreiseverbot zu verfügen war. Dass das rechtliche Gehör nicht von der Vorinstanz, sondern von der kantonalen Migrationsbehörde gewährt wurde, ist ebenfalls nicht zu beanstanden (vgl. Patrick Sutter, in: Auer/Müller/Schindler (Hrsg.), Kommentar zum Bundesgesetz über das Verwaltungsverfahren (VwVG), 2008, Rz. 6 zu Art. 30 sowie anstelle mehrerer Urteil des BVGer C-4489/2013 vom 23. Januar 2014 E. 3.3 mit Hinweisen).</w:t>
      </w:r>
    </w:p>
    <w:p>
      <w:r>
        <w:rPr>
          <w:b/>
        </w:rPr>
        <w:t>E. 3.3.3.1</w:t>
      </w:r>
    </w:p>
    <w:p>
      <w:r>
        <w:t>Demgegenüber enthält die angefochtene Verfügung schon angesichts der Tragweite der angeordneten Massnahme eine kaum genügende Begründung. Diese liess knapp erkennen, dass die Verurteilung durch das Kriminalgericht des Kantons Luzern vom 30. September 2010, die gegen den Beschwerdeführer insbesondere wegen Zuwiderhandlungen gegen das Betäubungsmittelgesetz ergangen war, zum An­lass genommen wurde, um auf einen schweren Verstoss gegen die öffentliche Sicherheit und Ordnung und eine damit einhergehende Ge­fährdung dieser polizei­lichen Schutzgüter zu schliessen. Weiter wurde fest­gestellt, dass keine privaten Interessen erkennbar seien, die das öffent­liche Interesse an der besonderen Beschränkung künftiger Ein­reisemöglichkeiten überwiegen könnten; dies ohne die berücksichtigten privaten Interessen namentlich zu erwähnen. Immerhin war mit dieser Begründung erkennbar, welche Delinquenz ausschlaggebend für die Verhängung einer Fernhaltemassnahme war. Der Beschwerdeführer war denn auch nicht daran gehindert, ein materiell begründetes Rechtsmittel dagegen zu erheben. Zu berücksichtigen ist ferner, dass das Einreiseverbot zu den quantitativ häufigsten Anordnungen der schweizerischen Verwaltungspraxis zählt und das BFM als erstinstanzliche Behörde gestützt auf den Effizienzgrundsatz speditiv zu entscheiden hat. Die Begründungsdichte der erstinstanzlichen Entscheide kann und muss daher nicht derjenigen höherer Instanzen entsprechen (vgl. Urteil des BVGer C-4898/2012 vom 1. Mai 2014 E. 3.3 mit Hinweisen).</w:t>
      </w:r>
    </w:p>
    <w:p>
      <w:r>
        <w:rPr>
          <w:b/>
        </w:rPr>
        <w:t>E. 3.3.3.2</w:t>
      </w:r>
    </w:p>
    <w:p>
      <w:r>
        <w:t>Indem die Vorinstanz ein Einreiseverbot von zehn Jahren Dauer verhängte, ging sie allerdings davon aus, dass eine im Sinne von Art. 67 Abs. 3 AuG schwerwiegende Gefahr für die öffentliche Sicherheit und Ordnung vorliegt, die ein Einreiseverbot von mehr als fünf Jahren überhaupt zulässt. Wie die Vorinstanz zu dieser Schlussfolgerung gelangte, dazu äusserte sie sich weder in der angefochtenen Verfügung noch in der Vernehmlassung in nachvollziehbarer Weise. In der Vernehmlassung nahm sie zwar Bezug auf Art. 67 Abs. 3 AuG und führte explizit eine "ernsthafte Gefährdung" der öffentlichen Sicherheit und Ordnung an. Für die Annahme einer qualifizierten Gefährdungslage kann das aber nicht genügen. Die Anforderungen an die Begründung sind in diesem Zusammenhang schon deshalb hoch und eine exakte Begriffsverwendung ist unerlässlich, weil ein längerfristiges Einreiseverbot schwer wiegt und der Ermessensspielraum der Behörde erheblich ist. Das BFM muss daher im Einzelfall eine Gefährdungsprognose erstellen und diese in nachvollziehbarer Weise begründen; d.h. der Betroffene muss erkennen können, weshalb die Behörde von einer aktuellen und schwerwiegenden Gefahr ausgeht (vgl. Urteil des BVGer C-4898/2012 E. 3.3 mit Hinweisen).</w:t>
      </w:r>
    </w:p>
    <w:p>
      <w:r>
        <w:rPr>
          <w:b/>
        </w:rPr>
        <w:t>E. 3.3.4</w:t>
      </w:r>
    </w:p>
    <w:p>
      <w:r>
        <w:t>Der Vorinstanz ist deshalb eine Verletzung der in Art. 35 Abs. 1 VwVG verankerten Begründungspflicht vorzuhalten, soweit sie vorliegend von einer qualifizierten Gefährdungslage ausging.</w:t>
      </w:r>
    </w:p>
    <w:p>
      <w:r>
        <w:rPr>
          <w:b/>
        </w:rPr>
        <w:t>E. 3.3.5</w:t>
      </w:r>
    </w:p>
    <w:p>
      <w:r>
        <w:t>Eine Verletzung des Anspruchs auf rechtliches Gehör führt ungeachtet der Erfolgsaussichten der Beschwerde in der Sache selbst in der Regel zur Aufhebung der angefochtenen Verfügung. Darauf kann in nicht besonders schwerwiegenden Fällen verzichtet werden, wenn die unterlassene Verfahrenshandlung im Rechtsmittelverfahren nachgeholt wird und das rechtliche Gehör vom Betroffenen nachträglich wahrgenommen werden kann. Dies setzt auch voraus, dass der Rechtsmittelbehörde dieselbe Kognition zukommt wie der Vorinstanz. Des Weiteren darf der von der Verletzung betroffenen Partei durch den Verzicht auf die Kassation kein unzumutbarer Nachteil entstehen. Durch eine solche «Heilung» einer Gehörsverletzung sollen prozessuale Leerläufe und unnötige Verzögerungen im Verfahren vermieden werden, die nicht mit dem Interesse der betroffenen Partei an einer beförderlichen Beurteilung der Sache in Einklang gebracht werden könnten (vgl. BGE 137 I 195 E. 2.2 und E. 2.3.2 sowie BVGE 2012/24 E. 3.4 je mit Hinweisen).</w:t>
      </w:r>
    </w:p>
    <w:p>
      <w:r>
        <w:rPr>
          <w:b/>
        </w:rPr>
        <w:t>E. 3.3.6</w:t>
      </w:r>
    </w:p>
    <w:p>
      <w:r>
        <w:t>Das Bundesverwaltungsgericht verfügt über die gleiche Kognition wie die Vorinstanz und ist zur freien Prüfung aller Sachverhalts- und Rechtsfragen befugt. Es handelt sich sodann nicht um eine besonders schwerwiegende Gehörsverletzung, zumal der Beschwerdeführer das Ein­reiseverbot in rechtsgenügender Weise anfechten konnte. Die Vorin­stanz hat die Gründe ihrer Entscheidung anlässlich des Schriftenwechsels immerhin ergänzt, dies aber - wie erwähnt - ohne zum Kriterium der schwerwiegenden Gefahr gemäss Art. 67 Abs. 3 AuG ausdrücklich Stellung zu nehmen. Der Beschwerdeführer hat mit dem Verzicht auf den Antrag, die angefochtene Verfügung zu kassieren, zum Ausdruck gebracht, dass ihm an einer möglichst verzögerungslosen Beurteilung durch die Rechtsmittelinstanz gelegen ist. Schliesslich ist auch nicht davon auszugehen, dass die Vorinstanz im Falle einer aus formellen Gründen angeordneten Kassation anders entschieden hätte. Es rechtfertigt sich deshalb insgesamt, von einer Rückweisung der Angelegenheit abzusehen.</w:t>
      </w:r>
    </w:p>
    <w:p>
      <w:r>
        <w:rPr>
          <w:b/>
        </w:rPr>
        <w:t>E. 4.1</w:t>
      </w:r>
    </w:p>
    <w:p>
      <w:r>
        <w:t>Das BFM kann Einreiseverbote gegenüber ausländischen Personen verfügen, die gegen die öffentliche Sicherheit und Ordnung in der Schweiz oder im Ausland verstossen haben oder diese gefährden (Art. 67 Abs. 2 Bst. a AuG). Das Einreiseverbot wird für eine Dauer von höchstens fünf Jahren verfügt. Für eine längere Dauer kann es angeordnet werden, wenn von der betroffenen Person eine schwerwiegende Gefahr für die öffentliche Sicherheit und Ordnung ausgeht (Art. 67 Abs. 3 AuG).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Ordnung und Sicherheit (BBl 2002 3709, 3813). Soweit Art. 67 Abs. 2 Bst. a AuG mit dem Verstoss gegen die öffentliche Sicherheit und Ordnung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6.1</w:t>
      </w:r>
    </w:p>
    <w:p>
      <w:r>
        <w:t>Der Beschwerdeführer bestreitet zu Recht nicht, mit den von ihm in der Schweiz begangenen Straftaten - insbesondere mit der vom Kriminalgericht des Kantons Luzern abgeurteilten Delinquenz gegen die Betäubungsmittelgesetzgebung - gegen die öffentliche Sicherheit und Ordnung verstossen zu haben bzw. diese polizeilichen Schutzgüter zu gefährden. Er hat mit seiner Delinquenz zweifellos einen Fernhaltegrund im Sinne von Art. 67 Abs. 2 Bst. a AuG gesetzt.</w:t>
      </w:r>
    </w:p>
    <w:p>
      <w:r>
        <w:rPr>
          <w:b/>
        </w:rPr>
        <w:t>E. 6.2</w:t>
      </w:r>
    </w:p>
    <w:p>
      <w:r>
        <w:t>Der Beschwerdeführer bestreitet auch nicht, dass die Verhängung einer Fernhaltemassnahme in seinem Fall am Platz war. Er kritisiert die verhängte Massnahme aber als in zeitlicher Hinsicht unverhältnismässig lange. Er habe seit Februar 2009 keine Drogen mehr konsumiert, sei nach Mitte 2009 nicht mehr straffällig geworden und verkörpere schon deshalb heute ein eher geringes Risiko für erneute Straftaten in der Schweiz. Damit bestreitet er implizit, die Voraussetzungen gemäss Art. 67 Abs. 3 Satz 2 AuG (schwerwiegende Gefahr für die öffentliche Sicherheit und Ordnung) zu erfüllen, welche die Verhängung eines mehr als fünfjährigen Einreiseverbots ermöglichen.</w:t>
      </w:r>
    </w:p>
    <w:p>
      <w:r>
        <w:rPr>
          <w:b/>
        </w:rPr>
        <w:t>E. 6.3</w:t>
      </w:r>
    </w:p>
    <w:p>
      <w:r>
        <w:t>Indem die Vorinstanz ein zehnjähriges Einreiseverbot ausgesprochen hat, ging sie von der gegenteiligen Auffassung aus, dass der Beschwerdeführer eine schwerwiegende Gefahr gegen die öffentliche Sicherheit und Ordnung im Sinne der vorerwähnten Gesetzesnorm darstellt.</w:t>
      </w:r>
    </w:p>
    <w:p>
      <w:r>
        <w:rPr>
          <w:b/>
        </w:rPr>
        <w:t>E. 7.1</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In einem neuesten Urteil hat das Bundesgericht erwogen, dass eine solche schwerwiegende Gefahr nur zurückhaltend anzunehmen ist. Sie kann sich - so das Bundesgericht -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sich die entsprechend qualifizierte Gefährdung überdies aus einer zunehmend schwereren Delinquenz bei Wiederholungstätern mit ungünstiger Legalprognose ergeben (vgl. BGE 139 II 121 E. 6.3).</w:t>
      </w:r>
    </w:p>
    <w:p>
      <w:r>
        <w:rPr>
          <w:b/>
        </w:rPr>
        <w:t>E. 7.2</w:t>
      </w:r>
    </w:p>
    <w:p>
      <w:r>
        <w:t>Vorweg ist klarzustellen, dass eine Störung der öffentlichen Sicherheit und Ordnung durch Drogendelinquenz, wie vom Beschwerdeführer begangen, eine schwerwiegende Gefahr im Sinne von Art. 67 Abs. 3 zweiter Satz AuG darstellen kann. Voraussetzung ist, dass die Wahrscheinlichkeit ihrer Realisierung hinreichend gross ist. Sie muss signifikant höher sein, als die, welche der Annahme einer rechtlich relevanten Gefahr im Sinne von Art. 67 Abs. 2 Bst. a AuG zugrunde liegt.</w:t>
      </w:r>
    </w:p>
    <w:p>
      <w:r>
        <w:rPr>
          <w:b/>
        </w:rPr>
        <w:t>E. 7.3</w:t>
      </w:r>
    </w:p>
    <w:p>
      <w:r>
        <w:t>Nachdem der Beschwerdeführer schon früher - vor allem mit Delikten gegen die Strassenverkehrsgesetzgebung - nachteilig in Erscheinung getreten war, wurde er am 30. September 2010 vom Kriminalgericht des Kantons Luzern unter anderem der qualifizierten Zuwiderhandlung gegen das Betäubungsmittelgesetz - begangen zwischen August 2008 und Januar 2009 - schuldig gesprochen. Auf eine vollständige Ausfertigung des Urteils wurde zwar seitens der Beteiligten verzichtet. Gemäss Anklageschrift hatte der Beschwerdeführer in den Befragungen durch die Strafermittlungsbehörden aber eingestanden, zwischen August 2008 und Januar 2009 in wechselnder Zusammensetzung mit zwei Kollegen und im Auftrag eines Dritten gesamthaft 4'260 g Kokaingemisch gekauft, mit den Kollegen ungefähr die Hälfte dieser Menge konsumiert und die andere Hälfte an Süchtige auf der Strasse weiterverkauft zu haben. Gemäss der sich bei den Akten der kantonalen Migrationsbehörde befindlichen Abschrift des Plädoyers kritisierte der Strafverteidiger in der Hauptverhandlung vor dem Kriminalgericht zwar die von der Staatsanwaltschaft aufgrund von Aussagen der Beteiligten angenommene Gesamtmenge umgesetzten Betäubungsmittels als zu hoch. Er bestritt allerdings nicht, dass die umgesetzte Menge qualifiziert war im Sinne eines schweren Falles. Es habe sich "mit Sicherheit um eine Menge von mindestens 1,8 Kilogramm" gehandelt. Das Strafgericht verurteilte den Beschwerdeführer wegen dessen deliktischen Verhaltens zu einer Freiheitsstrafe von zwei Jahren, bedingt vollziehbar bei einer Probezeit von zwei Jahren. Aufgrund der Drogenmenge und des dem Beschwerdeführer attestierten Vorsatzes bejahte das Gericht einen mengenmässig qualifizierten Fall (vgl. aArt. 19 Ziff. 2 Bst. a des Betäubungsmittelgesetzes vom 3. Oktober 1951 [BetmG, SR 812.121], dies in der bis zum 30. Juni 2011 geltenden Fassung [AS 1975 1220]). Der Beschwerdeführer nahm demnach in Kauf, dass er mit seinem Verhalten die Gesundheit vieler Menschen in Gefahr bringen konnte. Das Gericht ging im Weiteren davon aus, dass der Beschwerdeführer als Mitglied einer Bande wirkte, die sich zur fortgesetzten Ausübung des unerlaubten Betäubungsmittelhandels zusammengefunden hatte (aArt. 19 Ziff. 2 Bst. b BetmG). Gleichzeitig wurde er wegen Hehlerei nach Art. 160 Ziff. 1 Abs. 1 StGB schuldig gesprochen (das Gericht sah es als erwiesen an, dass er in der ersten Hälfte des Jahres 2008 Kleider entgegen nahm, obwohl er wusste, dass es sich um Diebesgut handelte).</w:t>
      </w:r>
    </w:p>
    <w:p>
      <w:r>
        <w:rPr>
          <w:b/>
        </w:rPr>
        <w:t>E. 7.4</w:t>
      </w:r>
    </w:p>
    <w:p>
      <w:r>
        <w:t>Aber auch nach einer Verwarnung durch die kantonale Migrationsbehörde im November 2008 und dem erwähnten Urteil des kantonalen Kriminalgerichts liess sich der Beschwerdeführer nicht von weiteren Straftaten abhalten, wie die Strafbefehle der Staatsanwaltschaft Abteilung 1 Luzern vom 8. Juli 2011 und 30. Mai 2012 zeigen. Insbesondere letzteres Urteil fällt schwer ins Gewicht, hatte der Beschwerdeführer doch gemäss den Feststellungen des Strafrichters bei seiner Anhaltung am 15. April 2012 nicht nur erneut Kokain besessen und konsumiert, sondern trotz entzogenem Führerausweis unter Drogeneinfluss und angetrunken ein Motorfahrzeug gelenkt. Die Tatsache, dass er noch während der im Zusammenhang mit der zweijährigen Gefängnisstrafe angesetzten Probezeit wiederum im gleichen Bereich delinquierte, zeugt von einer beträchtlichen kriminellen Energie und von hartnäckiger Uneinsichtigkeit in die Problematik seines Fehlverhaltens.</w:t>
      </w:r>
    </w:p>
    <w:p>
      <w:r>
        <w:rPr>
          <w:b/>
        </w:rPr>
        <w:t>E. 7.5</w:t>
      </w:r>
    </w:p>
    <w:p>
      <w:r>
        <w:t>Tritt hinzu, dass der Beschwerdeführer die Schweiz Ende September 2012 verliess und über seine seitherigen Lebensverhältnisse im Heimatland nichts aktenkundig ist. So ist nicht bekannt, ob er sich dort beruflich und sozial integrieren konnte. Tatsache ist allerdings, dass er Ende Oktober 2013 illegal (ohne dass das Einreiseverbot suspendiert und ein entsprechendes Visum ausgestellt worden wäre) in die Schweiz zurückkehrte, hier eine unbewilligte Erwerbstätigkeit antrat und bei seiner Anhaltung mit einem zu diesem Zweck verfälschten Arbeitsvertrag über seine wahre Identität zu täuschen versuchte (Strafbefehl der Staatsanwaltschaft Limmattal / Albis vom 12. Dezember 2013; vgl. Sachverhalt Bst. K). Aufgrund des Verschuldens, seines Vorlebens und seiner persönlichen Verhältnisse wurde dem Beschwerdeführer in diesem letzten Urteil der bedingte Strafvollzug verwehrt.</w:t>
      </w:r>
    </w:p>
    <w:p>
      <w:r>
        <w:rPr>
          <w:b/>
        </w:rPr>
        <w:t>E. 7.6</w:t>
      </w:r>
    </w:p>
    <w:p>
      <w:r>
        <w:t>In Anbetracht des bis in die jüngste Vergangenheit verwirklichten strafrechtlich relevanten Fehlverhaltens, der tangierten hochrangigen polizeilichen Schutzgüter und der zuletzt schlechten Legalprognose ist beim Beschwerdeführer eine schwerwiegende Gefahr im Sinne von Art. 67 Abs. 3 AuG zu bejahen, welche die Verhängung eines Einreiseverbots von mehr als fünf Jahren Dauer rechtfertigen kann.</w:t>
      </w:r>
    </w:p>
    <w:p>
      <w:r>
        <w:rPr>
          <w:b/>
        </w:rPr>
        <w:t>E. 8.1</w:t>
      </w:r>
    </w:p>
    <w:p>
      <w:r>
        <w:t>Der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2010, Rz. 613 ff.).</w:t>
      </w:r>
    </w:p>
    <w:p>
      <w:r>
        <w:rPr>
          <w:b/>
        </w:rPr>
        <w:t>E. 8.2</w:t>
      </w:r>
    </w:p>
    <w:p>
      <w:r>
        <w:t>Ausländische Straftäter, die durch Verbreitung harter Drogen die Gesundheit anderer gefährden oder beeinträchtigen, sind nach Möglichkeit von der Schweiz fernzuhalten. Damit soll der weiteren Ausbreitung des verbotenen Handels mit Betäubungsmitteln entgegengewirkt werden. Aufgrund der Häufigkeit solcher Taten ist zum Schutz der Allgemeinheit durch eine kontinuierliche und strenge Verwaltungspraxis zu verdeutlichen, dass Widerhandlungen gegen das Betäubungsmittelgesetz mit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C-2681/2010 vom 6. Mai 2011 E. 5.4 mit Hinweis). Die vom Beschwerdeführer über einen langen Zeitraum hinweg begangenen Delikte zeigen eindrücklich, dass er nicht gewillt oder fähig ist, sich an die geltende Rechtsordnung zu halten. Nicht nur mit seiner Drogendelinquenz, sondern auch mit gewissen Fehlleistungen im Strassenverkehr nahm er eine Gefährdung Dritter in Kauf. Einschlägige Vorstrafen liessen ihn offensichtlich unbeeindruckt, dies obwohl er gegenüber Behörden und Gerichten immer wieder beteuerte, sich künftig gesetzestreu verhalten zu wollen. Es besteht demnach ein gewichtiges öffentliches Interesse an einer langjährigen Fernhaltung des Beschwerdeführers.</w:t>
      </w:r>
    </w:p>
    <w:p>
      <w:r>
        <w:rPr>
          <w:b/>
        </w:rPr>
        <w:t>E. 8.3</w:t>
      </w:r>
    </w:p>
    <w:p>
      <w:r>
        <w:t>Den öffentlichen Interessen an seiner Fernhaltung stellt der Beschwe­rdeführer sein privates Interesse an möglichst ungehinderten persön­li­chen Kontakten zu seinen in der Schweiz lebenden Familienmitgliedern, Freunden und Bekannten gegenüber. Die Pflege solcher Kontakte setzt aber Einreisen in die Schweiz durch den Beschwerdeführer nicht zwingend voraus. Tritt hinzu, dass die Fernhaltemassnahme dem Beschwerdeführer Besuchsaufenthalte in der Schweiz nicht schlechthin verunmöglicht. Wie bereits von der Vorinstanz in ihrer Vernehmlassung vom 26. Februar 2013 explizit erwähnt, steht ihm die Möglichkeit offen, in begründeten Fällen ein Gesuch um befristete Ausserkraftsetzung der Massnahme zu stellen (Art. 67 Abs. 5 AuG). Darüber hinaus ist es den Beteiligten in Anbetracht des erheblichen öffentlichen Interesses an der Fernhaltemassnahme zuzumuten, den Kontakt vor allem mittels Telefon, Briefen und modernen Kommunikationsmitteln aufrecht zu erhalten.</w:t>
      </w:r>
    </w:p>
    <w:p>
      <w:r>
        <w:rPr>
          <w:b/>
        </w:rPr>
        <w:t>E. 8.4</w:t>
      </w:r>
    </w:p>
    <w:p>
      <w:r>
        <w:t>Eine wertende Gewichtung der sich gegenüberstehenden Interessen führt das Bundesverwaltungsgericht daher zum Schluss, dass die verhängte Massnahme sowohl vom Grundsatz her wie auch in der ausgesprochenen Dauer eine verhältnismässige und angemessene Massnahme zum Schutze der öffentlichen Sicherheit und Ordnung darstellt.</w:t>
      </w:r>
    </w:p>
    <w:p>
      <w:r>
        <w:rPr>
          <w:b/>
        </w:rPr>
        <w:t>E. 8.5</w:t>
      </w:r>
    </w:p>
    <w:p>
      <w:r>
        <w:t>An dieser Beurteilung vermag der Hinweis auf eine aus Sicht des Beschwerdeführers ähnlich gelagerte Konstellation nichts zu ändern, bei der das Bundesverwaltungsgericht eine von der Vorinstanz im Anschluss an ein bereits bestehendes dreijähriges Einreiseverbot verhängte vierjährige Fernhaltemassnahme auf die Dauer von zwei Jahren verkürzte (Urteil des BVGer C-56/2011 vom 12. Oktober 2012). Prüfungsgegenstand im Verfahren vor dem Bundesverwaltungsgericht war in diesem Fall einzig das vierjährige Anschlussverbot, dessen Dauer vor allem deshalb als unangemessen erachtet wurde, weil die Straftaten, die Anlass dazu gaben, "lediglich" in einem Vergehen gegen das Ausländergesetz und mehrfacher Übertretung des Betäubungsmittelgesetzes bestanden und mit einer Geldstrafe und einer Busse geahndet worden waren. Hinzu kam, dass der Massnahmenbelastete (ein türkischer Staatsangehöriger) Vater zweier minderjähriger Kinder ist, die in der Schweiz leben und das Schweizer Bürgerrecht besitzen. Ob die Vorinstanz gestützt auf die Sachumstände, die der ursprünglichen Fernhaltemassnahme zugrunde lagen (u.a. Verurteilung zu 25 Monaten Freiheitsstrafe wegen mehrfacher Widerhandlung gegen das Betäubungsmittelgesetz), zu Recht ein - zumindest auf den ers­ten Blick vergleichsweise "mildes" - dreijähriges Einreiseverbot ver­hängte, war demgegenüber vom Bundesverwaltungsgericht nicht zu beurteilen.</w:t>
      </w:r>
    </w:p>
    <w:p>
      <w:r>
        <w:rPr>
          <w:b/>
        </w:rPr>
        <w:t>E. 9.1</w:t>
      </w:r>
    </w:p>
    <w:p>
      <w:r>
        <w:t>Zu prüfen bleibt die Rechtmässigkeit der von der Vorinstanz angeordneten Ausschreibung des Einreiseverbots im SIS.</w:t>
      </w:r>
    </w:p>
    <w:p>
      <w:r>
        <w:rPr>
          <w:b/>
        </w:rPr>
        <w:t>E. 9.2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9.3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zur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9.4</w:t>
      </w:r>
    </w:p>
    <w:p>
      <w:r>
        <w:t>Der Beschwerdeführer kann als Drittstaatsangehöriger grundsätzlich zur Einreise- bzw. Aufenthaltsverweigerung im SIS ausgeschrieben werden. Einige der von ihm begangenen Delikte gegen die Betäubungsmittel- und die Strassenverkehrsgesetzgebung, aber auch die von ihm begangene Hehlerei, erfüllen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10</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11</w:t>
      </w:r>
    </w:p>
    <w:p>
      <w:r>
        <w:t>Entsprechend dem Ausgang des Verfahrens hat der Beschwerdeführer die Kosten des Verfahrens grundsätzlich zu tragen (Art. 63 Abs. 1 VwVG i.V.m. Art. 1, Art. 2 und Art. 3 Bst. b des Reglements vom 21. Februar 2008 über die Kosten und Entschädigungen vor dem Bundesverwaltungsgericht [VGKE, SR 173.320.2]). Der Beschwerdeführer beantragt zwar, ihm seien (für den Fall einer Abweisung der Beschwerde) Verfahrenskosten nur in reduziertem Umfang aufzuerlegen. Begründend führt er aus, er habe vor Erlass der Fernhaltemassnahme keine Stellung nehmen können und sei dadurch gezwungen worden, die vorliegende Beschwerde einzureichen. Wie bereits ausgeführt (vgl. E. 3.3.1) hatte der Beschwerdeführer aber durchaus Gelegenheit, sich vor Erlass des Einreiseverbots zur Massnahme zu äussern. Tritt hinzu, dass sein hauptsächliches Rechtsbegehren nicht etwa auf Kassation und Rückweisung, sondern auf Reduktion der Fernhaltemassnahme ging und er daran auch nach dem Schriftenwechsel festhielt. Dass die Beschwerde einzig aus formellrechtlichen Gründen erhoben worden sei, trifft daher offensichtlich nicht zu. Unter diesen Umständen besteht kein Anlass, Verfahrenskosten nur in reduziertem Umfang aufzuerlegen.</w:t>
      </w:r>
    </w:p>
    <w:p>
      <w:r>
        <w:rPr>
          <w:b/>
        </w:rPr>
        <w:t>E. 12</w:t>
      </w:r>
    </w:p>
    <w:p>
      <w:r>
        <w:t>In Ermangelung einer Zustelladresse in der Schweiz ist das Urteil in der Sache dem Beschwerdeführer durch Publikation im Bundesblatt zu eröffnen (Art. 11b Abs. 1 und Art. 36 Bst. b VwVG).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