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C-6416/2010 vom 23. Februar 2012</w:t>
      </w:r>
    </w:p>
    <w:p>
      <w:r>
        <w:t>Bundesverwaltungsgericht, 2012-02-23, FR</w:t>
      </w:r>
    </w:p>
    <w:p>
      <w:r>
        <w:rPr>
          <w:b/>
        </w:rPr>
        <w:t xml:space="preserve">Quelle: </w:t>
      </w:r>
      <w:r>
        <w:t>https://mcp.opencaselaw.ch/entscheid/bvger_C-6416_2010</w:t>
      </w:r>
    </w:p>
    <w:p>
      <w:r>
        <w:t>FR: TAF C-6416/2010 du 23 février 2012</w:t>
      </w:r>
    </w:p>
    <w:p>
      <w:r>
        <w:t>IT: TAF C-6416/2010 del 23 febbraio 2012</w:t>
      </w:r>
    </w:p>
    <w:p>
      <w:pPr>
        <w:pStyle w:val="Heading2"/>
      </w:pPr>
      <w:r>
        <w:t>Regeste</w:t>
      </w:r>
    </w:p>
    <w:p>
      <w:r>
        <w:t>Droit à la rente</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de l'assurance-invalidité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de protection à ce qu'elle soit annulée ou modifiée a qualité pour recourir. Ces conditions sont remplies en l'espèce.</w:t>
      </w:r>
    </w:p>
    <w:p>
      <w:r>
        <w:rPr>
          <w:b/>
        </w:rPr>
        <w:t>E. 1.4</w:t>
      </w:r>
    </w:p>
    <w:p>
      <w:r>
        <w:t>Déposé en temps utile, dans les formes requises par la loi (art. 60 LPGA et 52 PA), et la recourante s'étant dûment acquittée de l'avance de frais demandée, le recours est recevable.</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 Michael Beusch / 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w:t>
      </w:r>
    </w:p>
    <w:p>
      <w:r>
        <w:rPr>
          <w:b/>
        </w:rPr>
        <w:t>E. 3.2</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3.4</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4.1</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ATF 130 V 445 consid. 1.2. et les références). Les dispositions de la 5e révision de la LAI, entrées en vigueur le 1er janvier 2008, sont applicables et les dispositions citées ci-après sont, sauf précision contraire, celles en vigueur à compter du 1er janvier 2008. Ne sont en revanche pas applicables les dispositions de la 6e révision de la LAI (premier volet) en vigueur dès le 1er janvier 2012 (RO 2011 5659, FF 2010 1647).</w:t>
      </w:r>
    </w:p>
    <w:p>
      <w:r>
        <w:rPr>
          <w:b/>
        </w:rPr>
        <w:t>E. 5.1</w:t>
      </w:r>
    </w:p>
    <w:p>
      <w:r>
        <w:t>La recourante a présenté une seconde demande de rente d'invalidité le 12 mars 2009, une précédente demande de prestations ayant été rejetée par décision du 11 avril 2003, au motif que celle-ci ne présentait alors qu'une incapacité dans son ménage de 15%, taux insuffisant pour fonder le droit à une rente d'invalidité.</w:t>
      </w:r>
    </w:p>
    <w:p>
      <w:r>
        <w:rPr>
          <w:b/>
        </w:rPr>
        <w:t>E. 5.2</w:t>
      </w:r>
    </w:p>
    <w:p>
      <w:r>
        <w:t>En application de l'art. 87 al. 3 et 4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arrêt du Tribunal fédéral I 607/04 du 6 décembre 2005 consid. 3). A défaut d'apporter cette preuve préalable au nouvel examen du droit à la rente, l'affaire est liquidée sans autre examen par une décision de non-entrée en matière sujette à recours devant le tribunal compétent. Toutefois, le degré de la preuve exigée par l'art. 87 al. 3 RAI n'est pas celui de la haute vraisemblance prépondérante généralement exigée en matière d'assurance sociale. Il suffit que certains indices (simple vraisemblance) militent en faveur d'une aggravation de l'état de santé, même si subsiste la possibilité que la modification invoquée soit démentie par un examen plus approfondi (cf. arrêt du Tribunal fédéral 9C_881/2007 du 22 février 2008 consid. 2.2. et 9C_708/2007 du 11 septembre 2008 consid. 2.2). Par ailleurs, si l'administration entre en matière sur la demande, elle doit instruire la cause et déterminer si la modification du degré d'invalidité rendue plausible par l'assuré s'est effectivement produite (ATF 130 V 71 consid. 2.2).</w:t>
      </w:r>
    </w:p>
    <w:p>
      <w:r>
        <w:rPr>
          <w:b/>
        </w:rPr>
        <w:t>E. 5.3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Inversement, si le laps de temps est relativement long l'administration a un devoir d'examen plus large. Elle jouit sur ce point d'un certain pouvoir d'appréciation que le juge doit en principe respecter. Le juge doit comparer la situation existante au moment du rejet de la demande de rente avec les circonstances existantes au moment de la décision de refus d'entrer en matière sur la nouvelle demande (arrêt du Tribunal fédéral I 187/05 du 11 mai 2006, voir ég. ATF 130 V 349 consid. 3.5).</w:t>
      </w:r>
    </w:p>
    <w:p>
      <w:r>
        <w:rPr>
          <w:b/>
        </w:rPr>
        <w:t>E. 5.4</w:t>
      </w:r>
    </w:p>
    <w:p>
      <w:r>
        <w:t>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 comme en l'espèce - est entrée en matière sur la nouvelle demande (ATF 109 V 114 consid. 2b; ATF du 8 janvier 2007 cause I 597/05).</w:t>
      </w:r>
    </w:p>
    <w:p>
      <w:r>
        <w:rPr>
          <w:b/>
        </w:rPr>
        <w:t>E. 6</w:t>
      </w:r>
    </w:p>
    <w:p>
      <w:r>
        <w:t>Tout requérant doit remplir cumulativement les conditions suivantes pour avoir droit à une rente de l'assurance-invalidité suisse: - être invalide au sens de la LPGA/LAI et - compter trois années de cotisation (art. 36 LAI), dont au moins une en Suisse, auprès d'une assurance sociale assimilée d'un Etat membre de l'Union européenne (UE) ou de l'Association européenne de libre échange (AELE) (FF 2005 p. 4291; art. 45 du règlement 1408/71). En l'espèce, la recourante a versé des cotisations à l'AI pendant plus de trois années au total (cf. let. A) et remplit, partant, la condition de la durée minimale de cotisations. Il reste dès lors à examiner si elle est invalide au sens de la LAI.</w:t>
      </w:r>
    </w:p>
    <w:p>
      <w:r>
        <w:rPr>
          <w:b/>
        </w:rPr>
        <w:t>E. 7.1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 Par incapacité de travail, l'on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7.2</w:t>
      </w:r>
    </w:p>
    <w:p>
      <w:r>
        <w:t>Aux termes de l'art. 28 al. 2 LAI, l'assuré a droit à un quart de rente s'il est invalide à 40% au moins, à une demi-rente s'il est invalide à 50%, à trois-quarts de rente s'il est invalide à 60% et à une rente entière s'il est invalide à 70% au moins (art. 28 al. 2 LAI).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29 al. 4 LAI).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7.3</w:t>
      </w:r>
    </w:p>
    <w:p>
      <w:r>
        <w:t>L'art. 28 al. 1 LAI prévoit que l'assuré a droit à une rente aux conditions suivantes: - sa capacité de gain ou sa capacité d'accomplir ses travaux habituels ne peut pas être rétablie, maintenue ou améliorée par des mesures de réadaptation raisonnablement exigibles (art. 28 al. 1 let. a LAI); - il a présenté une incapacité de travail (art. 6 LPGA) d'au moins 40% en moyenne durant une année sans interruption notable (art. 28 al. 1 let. b LAI); - au terme de cette année, il est invalide (art. 8 LPGA) à 40 % au moins (art. 28 al. 1 let. c LAI).</w:t>
      </w:r>
    </w:p>
    <w:p>
      <w:r>
        <w:rPr>
          <w:b/>
        </w:rPr>
        <w:t>E. 7.4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Concrètement, le Tribunal de céans peut ainsi se limiter à examiner si la recourante avait droit à une rente le 12 septembre 2009 (6 mois après le dépôt de la demande) ou si le droit à une rente est né entre cette date et le 28 juin 2010, date de la décision attaquée marquant la limite dans le temps du pouvoir d'examen de l'autorité de recours (ATF 130 V 445 consid. 1.2 et 1.2.1).</w:t>
      </w:r>
    </w:p>
    <w:p>
      <w:r>
        <w:rPr>
          <w:b/>
        </w:rPr>
        <w:t>E. 8.1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et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 raisonnablement être exigée de lui après les traitements et les mesures de réadaptation sur un marché du travail équilibré (art. 16 LPGA; méthode générale).</w:t>
      </w:r>
    </w:p>
    <w:p>
      <w:r>
        <w:rPr>
          <w:b/>
        </w:rPr>
        <w:t>E. 8.2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9.1</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9.2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9.3</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ou une expertise judiciaire (arrêt du Tribunal fédéral 8C_306/2010 du 25 février 2011 consid. 6 ATF 135 V 465 consid. 4.6). Cette règle jurisprudentielle s'applique notamment lorsque l'administration fonde sa décision sur une prise de position de son service médical rendue sur la base des actes du dossier sans examen personnel de l'assuré (arrêt du Tribunal fédéral 9C_689/2010 du 19 janvier 2011 consid. 3.1.3 ss).</w:t>
      </w:r>
    </w:p>
    <w:p>
      <w:r>
        <w:rPr>
          <w:b/>
        </w:rPr>
        <w:t>E. 10.1</w:t>
      </w:r>
    </w:p>
    <w:p>
      <w:r>
        <w:t>En l'espèce, il est admis que la recourante souffre de spondylarthrose, de radiculopathie L5 et C7 bilatérale, de lombosciatalgies persistantes de type mécanique, dans un contexte de troubles dégénératifs étagés et protusion discale L1-L2 et L4-L5, de scoliose lombaire sinistro-convexe, de hernie discale foraminale L4-L5, d'altérations dégénératives discales L3-L4 et L4-L5 avec prolapsus asymétrique gauche en L4-L5, de polyalgies diffuses et mal structurées, ainsi que de dépression réactionnelle (OAIE pces 30 à 35, 37, 43 et 49). Par ailleurs, les Drs L.________ et N.________ font état chez l'assurée d'une fibromyalgie, diagnostic ressortant également du formulaire E 213 du 22 avril 2009. Plus particulièrement, le Dr L.________ relève 18/18 points de fibromyalgie lors de l'examen clinique (OAIE pce 35). Le Dr M.________, médecin de l'OAIE, n'en fait quant à lui aucune mention, bien qu'il se réfère au formulaire E 213, et la Dresse S.________, également médecin OAIE, se contente de signaler dans une appréciation du cas que "les différents documents au dossier évoquent une fibromyalgie associée à un état anxio-dépressif. Celui-ci est décrit comme réactionnel aux circonstances de la vie, et ne comporte pas de critère de gravité pouvant justifier une incapacité de travail", sans pour autant poser de diagnostic précis.</w:t>
      </w:r>
    </w:p>
    <w:p>
      <w:r>
        <w:rPr>
          <w:b/>
        </w:rPr>
        <w:t>E. 10.2</w:t>
      </w:r>
    </w:p>
    <w:p>
      <w:r>
        <w:t>S'agissant de la gravité des troubles psychiques de la recourante, les différents diagnostics ne se recoupent pas entièrement. En effet, la Dresse K.________ dans son certificat médical du 20 juillet 2009 évoque un trouble dépressif et adaptatif nécessitant un suivi thérapeutique et médicamenteux depuis 2006, sans toutefois se prononcer sur la capacité de travail de l'intéressée (OAIE pce 34). Par ailleurs, il ressort du rapport E 213 du 22 avril 2009, ainsi que des prises de position des Drs M.________ et S.________, que la recourante souffre d'un trouble adaptatif mixte toutefois non invalidant car n'atteignant pas un degré de gravité suffisant pour justifier une incapacité de travail (OAIE pces 33, 37, 43 et 49). D'un autre côté, le Dr L.________, rhumatologue espagnol, déclare l'assurée incapable de travailler, sans toutefois mentionner de troubles psychiques. Pour finir, le Dr N.________ dans deux certificats quasiment identiques des 19 mai 2010 et 25 février 2011 estime que la combinaison des problèmes de santé de la recourante l'empêche d'exercer aucune activité professionnelle; il constate notamment chez celle-ci un trouble d'adaptation mixte anxieux et dépressif, ainsi qu'un trouble de la personnalité.</w:t>
      </w:r>
    </w:p>
    <w:p>
      <w:r>
        <w:rPr>
          <w:b/>
        </w:rPr>
        <w:t>E. 10.3</w:t>
      </w:r>
    </w:p>
    <w:p>
      <w:r>
        <w:t>Force est ainsi au Tribunal de constater qu'il existe entre les médecins consultés des divergences importantes concernant le diagnostic même de fibromyalgie et son caractère invalidant, ainsi que sur l'étendue des troubles dépressifs de la recourante.</w:t>
      </w:r>
    </w:p>
    <w:p>
      <w:r>
        <w:rPr>
          <w:b/>
        </w:rPr>
        <w:t>E. 11.1</w:t>
      </w:r>
    </w:p>
    <w:p>
      <w:r>
        <w:t>Selon la jurisprudence, des troubles somatoformes douloureux, auxquels la fibromyalgie est assimilée (ATF 132 V 65 consid. 3.2 et ses références), peuvent conduire à une incapacité de travail dans certaines circonstances exceptionnelles, au premier plan desquelles figure la présence d'une comorbidité psychiatrique importante par sa gravité, son acuité et sa durée (cf. ATF 130 V 352). Toutefois, il existe une présomption que cette affection ou ses effets peuvent être surmontés par un effort de volonté raisonnablement exigible. De tels troubles entrent dans la catégorie des affections psychiques pour lesquelles une expertise psychiatrique est en principe nécessaire quand il s'agit d'évaluer l'incapacité de travail qu'ils sont susceptibles d'entraîner (VSI 2000 p. 160; ATF 130 V 352 consid. 2.2.2). Il en va de même pour la fibromyalgie - comme de tous les syndromes sans pathogenèse ni étiologie claires et sans constat de déficit organique (cf. ATF 137 V 54 consid. 4-5 et références citées) - quand bien même ce diagnostic est d'abord le fait d'un médecin rhumatologue (ATF 132 V 65 consid. 4.3). De surcroît un tel diagnostic doit s'appuyer lege artis sur les critères d'un système de classification reconnue (cf. ATF 130 V 396, consid. 5.3 et 6).</w:t>
      </w:r>
    </w:p>
    <w:p>
      <w:r>
        <w:rPr>
          <w:b/>
        </w:rPr>
        <w:t>E. 11.2</w:t>
      </w:r>
    </w:p>
    <w:p>
      <w:r>
        <w:t>La jurisprudence prescrit que, bien que la fibromyalgie soit à la base un diagnostic rhumatologique (cf. arrêt du Tribunal fédéral 9C_285/2009 du 16 mars 2010, consid. 2.4), il y a lieu de considérer, en suivant l'opinion dominante, que les facteurs psychosomatiques ont une influence décisive sur le développement de cette atteinte à la santé. Le Tribunal fédéral estime pour cette raison qu'une expertise interdisciplinaire tenant à la fois compte des aspects rhumatologiques et psychiques apparaît être en principe la mesure d'instruction adéquate pour établir de manière objective si l'assuré présente un état douloureux d'une gravité telle que la mise en valeur de sa capacité de travail sur le marché du travail ne peut plus du tout ou seulement partiellement être exigible de sa part. On peut cependant réserver les cas où le médecin rhumatologue s'étant prononcé sur les affections somatiques est d'emblée en mesure de constater, par des observations médicales concluantes, que les critères déterminants ne sont pas remplis, ou du moins pas d'une manière suffisamment intense, pour conclure à une incapacité de travail (8C_821/2009 du 22 mars 2010 consid. 4.2 ATF 132 V 65 consid. 4.3 arrêt du Tribunal fédéral I 652/04 du 3 avril 2006 consid. 2.3).</w:t>
      </w:r>
    </w:p>
    <w:p>
      <w:r>
        <w:rPr>
          <w:b/>
        </w:rPr>
        <w:t>E. 11.3</w:t>
      </w:r>
    </w:p>
    <w:p>
      <w:r>
        <w:t>En l'espèce, aucune expertise psychiatrique ou rhumatologique ne figure au dossier. À l'exception d'un certificat médical succinct (OAIE pce 34) de la Dresse K.________, médecin à la clinique psychiatrique du complexe hospitalier de X.________, aucun autre spécialiste en psychiatrie n'a pris position sur la nature et la gravité des troubles psychiques de la recourante. De plus, la praticienne se contente de diagnostiquer chez A.________ un trouble adaptatif dépressif uniquement sur la base de ses déclarations, au terme d'une seule consultation et sans se prononcer sur la gravité de ses troubles psychiques; le Tribunal de céans ne saurait ainsi lui attribuer de valeur probante suffisante et a fortiori ne saurait considérer les exigences jurisprudentielles susmentionnées comme remplies en l'espèce.</w:t>
      </w:r>
    </w:p>
    <w:p>
      <w:r>
        <w:rPr>
          <w:b/>
        </w:rPr>
        <w:t>E. 11.4</w:t>
      </w:r>
    </w:p>
    <w:p>
      <w:r>
        <w:t>D'autre part, le certificat médical du Dr L.________, spécialiste en rhumatologie, bien que faisant état de 18/18 points douloureux pour étayer son diagnostic de fibromyalgie, ne saurait non plus présenter une valeur probante suffisante eu égard à la jurisprudence précitée. En effet, le spécialiste ne fait aucune mention des troubles psychiques de la recourante, élément pourtant déterminant dans l'appréciation des répercussions de la fibromyalgie sur sa capacité de travail. De plus, dans un bref certificat médical, il se contente de poser les différents diagnostics rhumatologiques et de déclarer l'intéressée totalement incapable de travailler, sans pour autant décrire de limitations fonctionnelles ou étayer de manière objective son appréciation. Son avis est corroboré par le Dr N.________ dans deux certificats médicaux des 19 mai 2010 et 25 juin 2010 (OAIE pce 43 et TAF pce 10, PJ 3) qui bien que se recoupant presque entièrement n'est pas dépourvu de toute valeur probante (anamnèse, antécédents, appréciation de la capacité de travail, etc.). Toutefois, bien que ce dernier médecin se présente comme un expert, il ne ressort pas du dossier qu'il soit spécialiste en rhumatologie ou psychiatrie. De plus, le Tribunal rappelle que selon la jurisprudence, le juge doit tenir compte du fait que le médecin traitant est généralement enclin, en cas de doute, à prendre parti pour son patient en raison de la relation de confiance qui l'unit à ce dernier (ATF 125 V 353 consid. 3b/cc et les réf. cit.; Ulrich Meyer-Blaser, Bundesgesetz über Invalidenversicherung, in: Rechtssprechung des Bundesgerichts zum Sozialversicherungsrecht, Zurich 1997, p. 230). Il sied, en outre, de reconnaître une valeur probante plus grande à une expertise mise en oeuvre par un tribunal ou un assureur-invalidité qu'à une expertise privée (ATF 125 V 151).</w:t>
      </w:r>
    </w:p>
    <w:p>
      <w:r>
        <w:rPr>
          <w:b/>
        </w:rPr>
        <w:t>E. 11.5</w:t>
      </w:r>
    </w:p>
    <w:p>
      <w:r>
        <w:t>Par ailleurs, les Drs L.________ et N.________ sont contredits par le formulaire E 213 du 22 avril 2009, établi par la Dresse J.________, qui estime, après examen de la recourante, que son trouble psychique ne présente pas une gravité suffisante pour justifier une incapacité de travail. Elle ne retient aucune limitation fonctionnelle découlant des problèmes de rachis de l'intéressée et la déclare totalement capable de travailler dans toute activité (OAIE pce 33).</w:t>
      </w:r>
    </w:p>
    <w:p>
      <w:r>
        <w:rPr>
          <w:b/>
        </w:rPr>
        <w:t>E. 11.6</w:t>
      </w:r>
    </w:p>
    <w:p>
      <w:r>
        <w:t>Finalement, il sied de souligner que les avis des médecins de l'OAIE consultés, divergent quant à la capacité de travail résiduelle de A.________. En effet, la Dresse S.________ établit une incapacité de travail de 50% de la recourante en tant que femme de ménage, et une capacité entière dans des activités de substitution plus légères, sans port de charge, sans station debout prolongée et sans mouvements répétés du rachis (OAIE pce 49). Alors que le Dr M.________, se basant notamment sur le formulaire E 213, ne retient aucune incapacité de travail (OAIE pce 37).</w:t>
      </w:r>
    </w:p>
    <w:p>
      <w:r>
        <w:rPr>
          <w:b/>
        </w:rPr>
        <w:t>E. 12</w:t>
      </w:r>
    </w:p>
    <w:p>
      <w:r>
        <w:t>Compte tenu de ce qui précède, le recours doit être partiellement admis et la décision litigieuse du 25 juin 2010 annulée. S'agissant d'élucider une question nécessaire non réglée (cf. ATF 137 V 210, consid. 4.4.1.4), la cause peut être renvoyée à l'autorité inférieure pour complément d'instruction et nouvelle décision (art. 61 PA), afin qu'elle mette en oeuvre une expertise pluridisciplinaire intégrant l'avis d'un rhumatologue et d'un psychiatre. Dans ce cadre, les experts se prononceront notamment sur l'existence chez la recourante d'une fibromyalgie et de son caractère invalidant, sur les limitations fonctionnelles engendrées par ses problèmes de rachis, ainsi que sur la nature et la gravité de ses troubles psychiques avant de rendre une nouvelle décision.</w:t>
      </w:r>
    </w:p>
    <w:p>
      <w:r>
        <w:rPr>
          <w:b/>
        </w:rPr>
        <w:t>E. 13.1</w:t>
      </w:r>
    </w:p>
    <w:p>
      <w:r>
        <w:t>Selon la jurisprudence, la partie qui a formé recours est réputée avoir obtenu gain de cause lorsque l'affaire est renvoyée à l'administration pour instruction complémentaire et nouvelle décision (ATF 132 V 215, consid. 6.2). Vu l'issue du litige, il n'est pas perçu de frais de procédure (art. 63 al. 1 et 2 PA). En conséquence, l'avance de frais de Fr. 400.-- déjà versée par la recourante lui sera restituée dès l'entrée en force du présent arrêt.</w:t>
      </w:r>
    </w:p>
    <w:p>
      <w:r>
        <w:rPr>
          <w:b/>
        </w:rPr>
        <w:t>E. 13.2</w:t>
      </w:r>
    </w:p>
    <w:p>
      <w:r>
        <w:t>Il reste à examiner la question des dépens relatifs à la procédure devant l'autorité de céans. 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En l'espèce, la recourante n'ayant pas établi avoir dû supporter de tels frais, il ne lui est pas attribué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