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C-640/2008 vom 18. August 2009</w:t>
      </w:r>
    </w:p>
    <w:p>
      <w:r>
        <w:t>Bundesverwaltungsgericht, 2009-08-18, FR</w:t>
      </w:r>
    </w:p>
    <w:p>
      <w:r>
        <w:rPr>
          <w:b/>
        </w:rPr>
        <w:t xml:space="preserve">Quelle: </w:t>
      </w:r>
      <w:r>
        <w:t>https://mcp.opencaselaw.ch/entscheid/bvger_C-640_2008</w:t>
      </w:r>
    </w:p>
    <w:p>
      <w:r>
        <w:t>FR: TAF C-640/2008 du 18 août 2009</w:t>
      </w:r>
    </w:p>
    <w:p>
      <w:r>
        <w:t>IT: TAF C-640/2008 del 18 agosto 2009</w:t>
      </w:r>
    </w:p>
    <w:p>
      <w:pPr>
        <w:pStyle w:val="Heading2"/>
      </w:pPr>
      <w:r>
        <w:t>Regeste</w:t>
      </w:r>
    </w:p>
    <w:p>
      <w:r>
        <w:t>Prévention des accidents et des maladies professionnels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La CNA/SUVA est une autorité précédente au sens de l'art. 33 let. e LTAF. Selon de l'art. 109 de la loi fédérale du 20 mars 1981 sur l'assurance-accidents (LAA, RS 832.20), le TAF est compétent pour statuer sur les recours contre les décisions sur opposition en matière de classement des entreprises et des assurés dans les classes et degrés des tarifs de primes (let. b) et contre celles concernant des mesures destinées à prévenir les accidents et maladies professionnels (let. c).</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LAA mentionne que les dispositions de la LPGA s'appliquent à l'assurance-accidents à moins que la LAA ne déroge à la LPGA.</w:t>
      </w:r>
    </w:p>
    <w:p>
      <w:r>
        <w:rPr>
          <w:b/>
        </w:rPr>
        <w:t>E. 2.1</w:t>
      </w:r>
    </w:p>
    <w:p>
      <w:r>
        <w:t>Le présent recours est dirigé contre une décision sur opposition de la CNA/SUVA confirmant un avertissement rendu en matière de sécurité au travail. Se posent à ce sujet deux questions qui se confondent en l'espèce, à savoir si l'acte attaqué constitue bien une décision au sens de l'art. 5 PA et, dans l'affirmative, si l'entreprise, outre le fait qu'elle est directement touchée, a un intérêt digne d'être protégé à ce qu'elle soit annulée ou modifiée (cf. art. 59 LPGA).</w:t>
      </w:r>
    </w:p>
    <w:p>
      <w:r>
        <w:rPr>
          <w:b/>
        </w:rPr>
        <w:t>E. 2.2</w:t>
      </w:r>
    </w:p>
    <w:p>
      <w:r>
        <w:t>La jurisprudence s'est déjà interrogée sur la possibilité de recourir contre un avertissement. Selon le Tribunal fédéral (TF), un avertissement peut, à certaines conditions, porter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(ATF 125 I 119 consid. 2a, ATF 103 Ib 346 consid. 1b). En revanche, l'avertissement doit se distinguer de ce qui apparaît comme une simple admonestation, soit d'un acte qui ne modifie pas les rapports de droit des destinataires et contre lesquels on ne peut recourir (cf. PIERRE MOOR, Droit administratif, vol. II, 2e éd., Berne 2002, ch. 2.1.2.1, p. 157 ; ANDRÉ GRISEL, Traité de droit administratif, Neuchâtel 1984, vol.I, p. 404 ).</w:t>
      </w:r>
    </w:p>
    <w:p>
      <w:r>
        <w:rPr>
          <w:b/>
        </w:rPr>
        <w:t>E. 2.3</w:t>
      </w:r>
    </w:p>
    <w:p>
      <w:r>
        <w:t>Déterminer si l'acte correspond à un avertissement au sens de l'art. 62 al. 1 de l'ordonnance du 19 décembre 1983 sur la prévention des accidents et des maladies professionnelles (OPA; RS 832.30) et constituerait alors - en application de la jurisprudence précitée - une étape obligatoire vers une mesure coercitive ou s'il s'agit plutôt d'un avertissement préparant une mesure ultérieure et qui dès lors serait l'expression du principe de la proportionnalité peut souffrir de rester sans réponse au stade de la recevabilité. Dans les deux cas, il s'agit plus que d'une simple admonestation, l'acte n'étant pas sans conséquence pour l'entreprise. En effet, d'une part, l'art. 64 al. 1 OPA prévoit que, si aucune suite n'est donnée à un avertissement, l'organe d'exécution compétent, après avoir entendu l'employeur et les travailleurs directement intéressés, ordonne les mesures nécessaires par voie d'une décision et fixe à l'employeur un délai convenable pour les exécuter. D'autre part, l'entreprise qui a commis une infraction aux prescriptions relatives à la prévention des accidents et des maladies professionnels peut se voir classée, en tout temps et rétroactivement, dans un degré de risque plus élevé (cf. art. 92 al. 3 LAA; 113 al. 2 de l'ordonnance du 20 décembre 1982 sur l'assurance-accidents [OLAA, RS 832.202] et 66 OPA). Il suffit alors que l'entreprise contrevienne aux prescriptions pour que puisse s'opérer, en principe et dans le respect de la proportionnalité, son classement dans un degré supérieur (cf. ATF 116 V 255 consid. 4b).</w:t>
      </w:r>
    </w:p>
    <w:p>
      <w:r>
        <w:rPr>
          <w:b/>
        </w:rPr>
        <w:t>E. 2.4</w:t>
      </w:r>
    </w:p>
    <w:p>
      <w:r>
        <w:t>Par conséquent, il y a lieu d'admettre que l'avertissement confirmé par décision sur opposition constate l'existence d'une violation d'une obligation et à ce titre constitue une décision au sens de l'art. 5 al. b PA à l'encontre de laquelle l'entreprise recourante possède un intérêt digne de protection à son annulation.</w:t>
      </w:r>
    </w:p>
    <w:p>
      <w:r>
        <w:rPr>
          <w:b/>
        </w:rPr>
        <w:t>E. 3</w:t>
      </w:r>
    </w:p>
    <w:p>
      <w:r>
        <w:t>Pour le surplus, déposé en temps utile et dans les formes requises par la loi (art. 60 LPGA et 52 PA), le recours est donc recevable, l'avance de frais demandée ayant également été versée dans le délai imparti pour ce faire.</w:t>
      </w:r>
    </w:p>
    <w:p>
      <w:r>
        <w:rPr>
          <w:b/>
        </w:rPr>
        <w:t>E. 4.1</w:t>
      </w:r>
    </w:p>
    <w:p>
      <w:r>
        <w:t>L'art. 82 al. 1 LAA prescrit que l'employeur est tenu de prendre, pour prévenir les accidents et maladies professionnels, toutes les mesures dont l'expérience a démontré la nécessité, que l'état de la technique permet d'appliquer et qui sont adaptées aux conditions données. Se fondant sur la délégation prévue à l'art. 83 al. 1 LAA, le Conseil fédéral, outre l'OPA, a édicté diverses ordonnances concrétisant les exigences en matière de sécurité au travail pour certaines activités. L'OTConst en fait partie, elle a remplacé au 1er janvier 2006 l'ancienne ordonnance du même nom du 29 mars 2000 (aOTConst; RO 2000 1403).</w:t>
      </w:r>
    </w:p>
    <w:p>
      <w:r>
        <w:rPr>
          <w:b/>
        </w:rPr>
        <w:t>E. 4.2.1</w:t>
      </w:r>
    </w:p>
    <w:p>
      <w:r>
        <w:t>En cas d'infraction aux prescriptions relatives à la prévention des accidents et des maladies professionnelles, les entreprises peuvent en tout temps et rétroactivement, être classées dans un degré de risques plus élevé (art. 92 al. 3 LAA). L'OPA règle les modalités de ce classement, mais en règle générale, l'entreprise sera classée dans un degré dont le taux de prime est supérieur d'au moins 20% à celui du degré précédent (art. 113 al. 2 OLAA). Conformément à l'art. 66 al. 1 OPA, l'augmentation des primes n'est possible qu'après décision exécutoire à laquelle l'employeur n'a pas donné suite ou si ce dernier a contrevenu d'une autre manière aux prescriptions sur la sécurité au travail. Il faut donc distinguer l'augmentation de primes consécutive à une décision exécutoire restée sans suite de celle qui peut avoir lieu en toute circonstance du moment qu'une infraction auxdites prescriptions est avérée. Pour ce faire, la CNA/SUVA a introduit une procédure d'exécution LAA interne qui se caractérise par la mise en place d'une voie dite ordinaire et une autre dite extraordinaire (cf. Manuel de la procédure d'exécution pour la procédure au travail édité par la Commission fédérale de coordination pour la sécurité au travail [CFST])</w:t>
      </w:r>
    </w:p>
    <w:p>
      <w:r>
        <w:rPr>
          <w:b/>
        </w:rPr>
        <w:t>E. 4.2.2</w:t>
      </w:r>
    </w:p>
    <w:p>
      <w:r>
        <w:t>Lorsque des lacunes sont relevées à l'occasion d'une visite d'entreprise (art. 61 OPA), les inspecteurs CNA/SUVA doivent tout d'abord déterminer s'il s'agit d'un manquement de courte durée dans un poste mobile. En effet, particulièrement dans le domaine de la construction, il est des situations où en raison de la nature du travail à exécuter voire de la méthode utilisée, les lacunes disparaissent d'elles-mêmes notamment en raison de la progression des travaux et la notification d'une décision requérant leur élimination n'aurait pas de sens. Selon l'art. 92 al. 3 LAA, toute infraction aux prescriptions sur la sécurité au travail, quelle qu'en soit la gravité (cf. ATF 116 V 255 consid. 4b), pourrait en principe être punie d'une augmentation des primes. Or, le principe de proportionnalité qui gouverne toute l'activité administrative serait peut-être violé, si dès la première lacune de moindre importance, l'autorité faisait application de l'art. 92 al. 3 LAA. La procédure dite extraordinaire a été introduite afin de pouvoir sanctionner les entreprises dans la situation précitée tout en respectant les principes généraux du droit. Selon cette procédure, une décision d'augmentation des primes n'est notifiée qu'à l'issue de quatre avertissements, soit quatre constatations d'une situation contraire aux règles de sécurité. Ces avertissements constituent en fait des confirmations écrites à l'employeur des lacunes relevées lors d'un contrôle. Les trois premiers doivent tous récapituler les normes enfreintes, l'objectif de sécurité visé par l'art. 82 LAA et l'obligation d'observer les prescriptions en la matière, éventuellement indiquer un délai d'exécution lorsqu'un contrôle ultérieur est possible ainsi que le droit d'être entendu. En outre le deuxième renverra à l'art. 92 al. 3 LAA et à la première constatation, le troisième aux deux premières constatations tout en menaçant d'une augmentation de prime en cas de nouvelle infraction alors que la quatrième constatation signifiera l'augmentation de primes. Ce schéma (quatre constatations) correspond au cas normal, il va de soi que suivant la gravité de l'infraction la procédure peut être abrégée ou à l'inverse prolongée (cf. Manuel CFST, chapitre 5).</w:t>
      </w:r>
    </w:p>
    <w:p>
      <w:r>
        <w:rPr>
          <w:b/>
        </w:rPr>
        <w:t>E. 4.2.3</w:t>
      </w:r>
    </w:p>
    <w:p>
      <w:r>
        <w:t>Lorsque les lacunes constatées ne sont pas de courte durée (et pour autant qu'il ne s'agisse pas d'un cas d'urgence, cf. art. 62 al. 2 OPA), la CNA/SUVA applique la procédure d'exécution ordinaire laquelle débute selon la loi par l'avertissement prévu à l'art. 62 OPA. Or, l'autorité a introduit une étape préalable qu'elle intitule la confirmation. Lorsque des lacunes sont constatées lors d'une visite d'entreprise, elles sont ensuite confirmées par écrit à l'employeur avec la désignation des mesures à prendre et le délai imparti pour ce faire. L'entreprise doit au plus tard à l'échéance du délai confirmer à son tour l'exécution des prescriptions. Ce n'est que si celle-là n'est pas effective et que les lacunes sont à nouveau relevées lors d'une visite, que l'autorité adressera un avertissement avec délai pour exécution et en donnant la possibilité à l'entreprise d'être entendue. Si, en dépit de cet avertissement, l'employeur n'obtempère toujours pas à l'injonction d'éliminer les manquements, les mesures nécessaires doivent alors être ordonnées par voie de décision. Cette décision peut faire référence aux mesures de contrainte possibles: augmentation des primes, exécution aux frais de l'obligé ou exécution directe. Dans ce cadre, l'augmentation des primes a donc lieu lorsque, en dépit d'une décision exécutoire, l'employeur refuse de prendre les mesures qui lui ont été ordonnées (cf. Manuel CFST, chapitres 4 et 7).</w:t>
      </w:r>
    </w:p>
    <w:p>
      <w:r>
        <w:rPr>
          <w:b/>
        </w:rPr>
        <w:t>E. 4.2.4</w:t>
      </w:r>
    </w:p>
    <w:p>
      <w:r>
        <w:t>Il sied néanmoins de préciser qu'un avertissement donné dans le cadre de la procédure dite ordinaire qui ne sera pas suivi d'une décision en raison de la mise en conformité par l'employeur, peut bien entendu servir dans la procédure extraordinaire. En effet, si l'autorité recherche avant tout la réalisation des objectifs de sécurité, elle veut aussi sanctionner les comportements contraventionnels répétitifs. L'augmentation de primes de l'art. 92 al. 3 LAA représente justement une mesure de caractère pénal.</w:t>
      </w:r>
    </w:p>
    <w:p>
      <w:r>
        <w:rPr>
          <w:b/>
        </w:rPr>
        <w:t>E. 5</w:t>
      </w:r>
    </w:p>
    <w:p>
      <w:r>
        <w:t>Dans le cas particulier, force est de constater que la procédure choisie par l'autorité inférieure n'est pas clairement déterminée, les infractions constatées étant en partie de nature à justifier la procédure extraordinaire et en partie la procédure ordinaire. Néanmoins, il semble que l'avertissement du 22 novembre 2007 s'inscrit dans le cadre de la procédure explicitée au consid. 4.2.2. et que dès lors les griefs soulevés par l'entreprise recourante au sujet du non-respect de la procédure décrite au consid. 4.2.3 n'ont pas cours. Toutefois, il faut constater avec elle que l'autorité inférieure n'a pas donné de suite formelle aux objections dûment exprimées par courrier recommandé à l'encontre des deux premiers avertissements. Or, du moment que tant la jurisprudence de la Commission fédérale de recours en matière d'assurance-accidents (arrêt CRAA 606/04 du 8 juillet 2005) que celle du TAF (arrêt C-3183/2006 du 6 juillet 2007) admettent la possibilité d'un recours contre un tel avertissement, l'autorité inférieure se doit de répondre aux oppositions par une décision pourvue des voies de droit, sans quoi elle s'achemine vers un déni de justice d'autant plus difficile à réparer que les faits à constater sont temporellement éloignés. Ceci dit, dans sa décision sur opposition du 20 décembre 2007, l'autorité prend également position sur les deux premiers avertissements et quand bien même sa détermination est sommaire, il est clair qu'elle les confirme. Partant et eu égard au fait que la recourante continue à contester implicitement les deux premiers avertissements, la Cour de céans doit examiner la légitimité des trois avertissements.</w:t>
      </w:r>
    </w:p>
    <w:p>
      <w:r>
        <w:rPr>
          <w:b/>
        </w:rPr>
        <w:t>E. 6.1</w:t>
      </w:r>
    </w:p>
    <w:p>
      <w:r>
        <w:t>Le premier avertissement, daté du 21 février 2006, ainsi que l'opposition consécutive du 24 février 2006 a donné lieu à une entrevue sur le chantier en présence des représentants des deux parties. On ne peut que regretter qu'aucun procès-verbal de cette rencontre n'ait été établi. On remarquera toutefois également que lors de son objection au deuxième avertissement, l'entreprise recourante ne s'étonne nullement de n'avoir pas reçu de décision formelle à la suite du premier avertissement, si bien que l'on peut en déduire qu'elle s'est satisfaite des explications données par l'autorité inférieure lors de l'entretien du 13 mars 2006. Quand bien même cela ne serait pas le cas, il suffit de constater qu'une seule des infractions relevées est avérée pour justifier l'avertissement. Or, à l'observation des photos (page 3), il apparaît qu'un pont de travail n'est balisé que partiellement par des protections latérales et que subsiste un dangereux espacement d'environ trois mètres, ce qui consiste clairement une violation de l'art 16 OTConst.</w:t>
      </w:r>
    </w:p>
    <w:p>
      <w:r>
        <w:rPr>
          <w:b/>
        </w:rPr>
        <w:t>E. 6.2</w:t>
      </w:r>
    </w:p>
    <w:p>
      <w:r>
        <w:t>Concernant le deuxième avertissement du 19 avril 2006, l'entreprise recourante reconnaît elle-même avoir manqué de diligence pour remettre en état les barrières de protection latérale (art. 16 OTConst), si bien qu'il n'y a pas lieu d'examiner plus avant les autres points qu'elle conteste.</w:t>
      </w:r>
    </w:p>
    <w:p>
      <w:r>
        <w:rPr>
          <w:b/>
        </w:rPr>
        <w:t>E. 7</w:t>
      </w:r>
    </w:p>
    <w:p>
      <w:r>
        <w:t>Lors du contrôle entrepris le 19 novembre 2007 sur le chantier C._______ à U._______, les constatations suivantes ont été relevées par les deux inspecteurs de la CNA/SUVA, et en partie documentées par des pièces photographiques: construction à près de 9 m de hauteur sans la mise en place d'un échafaudage ou d'un tout autre moyen garantissant une sécurité équivalente (art. 18 et 19 OTConst); manque de maîtrise et de contrôle de son sous-traitant (art. 3 OTConst); fers d'armature et goujons en attente, non protégés (art. 8 OTConst); diverses manoeuvres non conformes avec les grues; déplacement des tours d'accès sans les stabiliser et les sécuriser. Il manque des protections latérales et des ancrages; nombreuses activités réalisées avec du personnel exposé à des risques de chute (art. 15 ss OTConst) alors que toute personne exposée à un risque de chute de hauteur de plus de 3 m doit être impérativement protégée par un échafaudage de façade conforme (art. 18 OTConst) et dans les cas où cela s'avère impossible, des mesures de protection équivalentes doivent être mises en place (art. 19 OTConst); Là encore, l'entreprise recourante ne remet pas fondamentalement en question les lacunes pointées par l'autorité inférieure. Elle argue plutôt du fait qu'elle organise des campagnes de formation intégrant les remarques formulées dans les deux avertissements et destinées aux ouvriers de ses chantiers et que le problème est de convaincre les ouvriers d'adopter les mesures adéquates, ce qui n'est pas toujours le cas malgré les efforts déployés dans le domaine éducatif. De surcroît, sur le chantier incriminé, un chargé de sécurité passe chaque semaine pour photographier les bonnes et les mauvaises situations liées à la sécurité afin de faire modifier ce qui n'est pas réglementaire.</w:t>
      </w:r>
    </w:p>
    <w:p>
      <w:r>
        <w:rPr>
          <w:b/>
        </w:rPr>
        <w:t>E. 7.1</w:t>
      </w:r>
    </w:p>
    <w:p>
      <w:r>
        <w:t>Dans ce cadre, il sied de rappeler quelques notions en matière de sécurité au travail.</w:t>
      </w:r>
    </w:p>
    <w:p>
      <w:r>
        <w:rPr>
          <w:b/>
        </w:rPr>
        <w:t>E. 7.1.1</w:t>
      </w:r>
    </w:p>
    <w:p>
      <w:r>
        <w:t>Ainsi, en application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(cf. également Alfred Maurer, Schweizerisches Unfallversicherungsrecht, Bern 1985, p. 582 ss; Alexandra Rumo-Jungo, Rechtsprechung des Bundesgerichts zum Sozialversicherungsrecht über die Unfallversicherung, 3e éd., Zurich 2003, p. 324 ss).</w:t>
      </w:r>
    </w:p>
    <w:p>
      <w:r>
        <w:rPr>
          <w:b/>
        </w:rPr>
        <w:t>E. 7.1.2</w:t>
      </w:r>
    </w:p>
    <w:p>
      <w:r>
        <w:t>Que l'employeur ne puisse tout simplement se décharger de sa responsabilité sur un tiers s'agissant de l'observance des prescriptions en matière de sécurité au travail ressort également de l'art. 7 al. 2 OPA qui précise que le fait de confier des tâches relatives à la sécurité au travail à un travailleur ne libère pas l'employeur de ses obligations en matière de sécurité au travail. En outre, l'OPA contient aussi une disposition sur la coopération des entreprises occupées sur un même lieu de travail (art. 9). Parallèlement à la LAA et à la loi fédérale du 13 mars 1964 sur le travail dans l'industrie, l'artisanat et le commerce (LTr; RS 822.11), le code des obligations du 30 mars 1911 (CO, RS 220) contient également des règles sur les devoirs et obligations de l'employeur, en particulier l'art. 328 al. 2 CO.</w:t>
      </w:r>
    </w:p>
    <w:p>
      <w:r>
        <w:rPr>
          <w:b/>
        </w:rPr>
        <w:t>E. 7.1.3</w:t>
      </w:r>
    </w:p>
    <w:p>
      <w:r>
        <w:t>Celui qui collabore à la direction ou à l'exécution d'une construction est responsable du respect, dans son domaine, des règles de l'art de construire. S'agissant des mesures de prévention des accidents qu'il convient de prendre, celui qui a créé le risque n'est pas seul en cause. Tout employeur ayant constaté des défauts exposant ses subordonnés à un danger qu'il est possible d'écarter est tenu de le supprimer ou de faire en sorte que les prescriptions sur la prévention des accidents soient respectées (ATF 109 IV 15 consid. 2). Le Tribunal fédéral a retenu que le respect des prescriptions de sécurité ne s'impose pas seulement à celui qui a provoqué le risque spécifique d'accident, mais aussi à tout employeur de personnes visiblement exposées à un danger. Le fait d'attirer l'attention sur le danger au lieu de mettre en oeuvre des mesures de sécurité ne suffit pas (ATF 109 IV 15 regeste). Cette décision a certes été prise en matière pénale, mais en référence à une ordonnance sur la prévention des accidents.</w:t>
      </w:r>
    </w:p>
    <w:p>
      <w:r>
        <w:rPr>
          <w:b/>
        </w:rPr>
        <w:t>E. 7.2</w:t>
      </w:r>
    </w:p>
    <w:p>
      <w:r>
        <w:t>Il s'en suit que si la Cour de céans, à l'instar de l'autorité inférieure, ne peut que saluer les efforts fournis par l'entreprise recourante dans le domaine de la sécurité au travail, lesquels néanmoins n'ont pas permis d'éviter plusieurs accidents (cf état de faits). Toutefois, sa volonté de bien faire ne peut à elle seule justifier de l'annulation d'un avertissement du moment que les conditions étaient données pour le prononcer. Il faut remarquer encore une fois que la loi ne subordonne pas l'augmentation des primes de l'art. 92 al. 3 LAA à la cumulation d'avertissements, puisque cette augmentation serait possible lors d'une quelconque contravention aux prescriptions sur la sécurité au travail. Toutefois, l'équation 1 avertissement = 1 augmentation des primes n'étant pas toujours conforme au principe de la proportionnalité, l'autorité a mis en place la procédure précitée (cf. consid. 4.2.2). Il reviendra à l'autorité de décider compte tenu de sa latitude dans le domaine, si la prochaine infraction entraînera automatiquement une augmentation des primes ou s'il se justifie - eu égard à l'engagement de l'entreprise recourante en matière de sécurité au travail - de prononcer un avertissement supplémentaire. Par ailleurs, le TAF se plaît à remarquer qu'en date du 4 février 2008, soit postérieurement à la décision litigieuse, de nouveaux manquements ont été relevés sur un chantier de l'entreprise recourante sans que cela - à la connaissance du Tribunal - ne conduise à une décision d'augmentation des primes (pce 91). Toutefois, la Cour de céans ne peut qu'inviter l'autorité inférieure à opter pour une procédure clairement identifiable en la matière pour les entreprises. En effet, à teneur du dossier, il n'est pas compréhensible que les mêmes infractions fassent une fois l'objet d'un avertissement sans confirmation préalable et une autre fois génère un courrier de simple confirmation. Du moment que l'autorité a édicté des règles internes qui prima facie semblent conformes au droit, elle se doit de les respecter.</w:t>
      </w:r>
    </w:p>
    <w:p>
      <w:r>
        <w:rPr>
          <w:b/>
        </w:rPr>
        <w:t>E. 8</w:t>
      </w:r>
    </w:p>
    <w:p>
      <w:r>
        <w:t>Au vu de ce qui précède, le recours doit être rejeté, la décision sur opposition du 20 décembre 2007 étant confirmée.</w:t>
      </w:r>
    </w:p>
    <w:p>
      <w:r>
        <w:rPr>
          <w:b/>
        </w:rPr>
        <w:t>E. 9.1</w:t>
      </w:r>
    </w:p>
    <w:p>
      <w:r>
        <w:t>L'entreprise recourante qui succombe doit donc s'acquitter de l'émolument judiciaire relatif à la procédure fédérale et fixé, compte tenu de l'ampleur et de la difficulté de la cause, à Fr. 1'500.-- , (art. 63 al. 1 et al. 5 PA en relation avec l'art. 16 al. 1 let. a LATF ainsi que les art. 1 ss du règlement du 21 février 2008 concernant les frais, dépens et indemnités fixés par le Tribunal administratif fédéral (FITAF, RS 173.320.2). Cet émolument sera compensé par l'avance de frais déjà versée de Fr. 1'500.--.</w:t>
      </w:r>
    </w:p>
    <w:p>
      <w:r>
        <w:rPr>
          <w:b/>
        </w:rPr>
        <w:t>E. 9.2</w:t>
      </w:r>
    </w:p>
    <w:p>
      <w:r>
        <w:t>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FITAF). Au vue de l'issue de la procédure, l'entreprise n'a pas droit à une indemnité de partie (art. 7 al. 1 a contrario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