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C-6406/2014 vom 30. Juni 2015</w:t>
      </w:r>
    </w:p>
    <w:p>
      <w:r>
        <w:t>Bundesverwaltungsgericht, 2015-06-30, FR</w:t>
      </w:r>
    </w:p>
    <w:p>
      <w:r>
        <w:rPr>
          <w:b/>
        </w:rPr>
        <w:t xml:space="preserve">Quelle: </w:t>
      </w:r>
      <w:r>
        <w:t>https://mcp.opencaselaw.ch/entscheid/bvger_C-6406_2014</w:t>
      </w:r>
    </w:p>
    <w:p>
      <w:r>
        <w:t>FR: TAF C-6406/2014 du 30 juin 2015</w:t>
      </w:r>
    </w:p>
    <w:p>
      <w:r>
        <w:t>IT: TAF C-6406/2014 del 30 giugno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soixante-deux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nonante jours, l'art. 2 al. 1 de l'ordonnance du 22 octobre 2008 sur l'entrée et l'octroi de visas (OEV, RS 142.204) renvoie au Règlement (CE) no 5soixante-deux/2006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5soixante-deux/2006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C-5953/2013 du 26 juin 2014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qu'elle est une ressortissante de la République de Madagascar, B._______ est soumise à l'obligation du visa.</w:t>
      </w:r>
    </w:p>
    <w:p>
      <w:r>
        <w:rPr>
          <w:b/>
        </w:rPr>
        <w:t>E. 5</w:t>
      </w:r>
    </w:p>
    <w:p>
      <w:r>
        <w:t>Dans la décision querellée, l'ODM a refusé d'autoriser l'entrée de la prénommée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cette personne (cf., sur les points qui précèdent, notamment les arrêts du TAF C-5988/2013 du 28 octobre 2014 consid. 5.1 et C-1246/2014 du 8 août 2014 consid. 5.1).</w:t>
      </w:r>
    </w:p>
    <w:p>
      <w:r>
        <w:rPr>
          <w:b/>
        </w:rPr>
        <w:t>E. 5.2</w:t>
      </w:r>
    </w:p>
    <w:p>
      <w:r>
        <w:t>In casu, le Tribunal ne saurait d'emblée écarter les craintes émises par l'autorité intimée, notamment au vu de la situation qui prévaut dans le pays d'origine de l'intéressée sur les plans social et économique. A ce sujet, il faut prendre en considération la qualité de vie et les conditions économiques et sociales difficiles que connaît l'ensemble de la population de la République de Madagascar, où le produit intérieur brut (PIB) par habitant ne s'élevait qu'à 447,5 USD en 2012 et situe Madagascar au 175ème rang sur 182 pays (source: le site internet du ministère français des Affaires étrangères, &lt; https:// www.diplomatie.gouv.fr Dossiers pays Zones géographiques Madagascar Présentation de Madagascar; mise à jour le 2 février 2015; consulté en juin 2015).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en l'espèce, à savoir en la personne de sa soeur et de la famille de celle-ci.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notamment personnelle, familiale et patrimoniale de B._______ plaide en faveur de sa sortie ponctuelle respectivement de Suisse et de l'Espace Schengen, au terme du séjour envisagé.</w:t>
      </w:r>
    </w:p>
    <w:p>
      <w:r>
        <w:rPr>
          <w:b/>
        </w:rPr>
        <w:t>E. 6.1</w:t>
      </w:r>
    </w:p>
    <w:p>
      <w:r>
        <w:t>S'agissant des attaches familiales de B._______, il ressort du dossier que l'intéressée, âgée de 37 ans, vit depuis quatorze ans en couple avec son compagnon dans la maison de ses parents. Par ailleurs, ses parents et son frère vivent également à Mahajanga, grande ville côtière de Madagascar. Force est donc de constater que la prénommée bénéficie d'un réseau familial non négligeable dans sa patrie. Sur le plan professionnel, la prénommée travaille comme magasinière depuis près de cinq ans à plein temps dans un centre médical de Mahajanga, à l'entière satisfaction de son employeur, qui lui offre les soins en cas de maladie, ainsi que les médicaments pour ses parents. Au vu de ces éléments, le Tribunal ne voit aucun motif de mettre en doute l'affirmation du recourant selon laquelle son invitée souhaite se rendre en Suisse uniquement pour des raisons familiales (cf. mémoire de recours, p. 2, détermination du 28 janvier 2015), cela d'autant que l'épouse du recourant vit depuis plus de dix ans en Suisse et que les deux membres de sa famille qui sont déjà venus en ce pays, soit sa mère en 2006 et son frère en 2011 ont tous deux respecté leur obligation de quitter la Suisse dans les délais impartis (cf. détermination du 28 janvier 2015 et pièces jointes).</w:t>
      </w:r>
    </w:p>
    <w:p>
      <w:r>
        <w:rPr>
          <w:b/>
        </w:rPr>
        <w:t>E. 6.2</w:t>
      </w:r>
    </w:p>
    <w:p>
      <w:r>
        <w:t>Le Tribunal relève enfin que le recourant s'est déclaré disposé à limiter à soixante-deux jours la durée du visa Schengen sollicité, étant rappelé que cette durée était, à l'origine, de nonante jours (cf. détermination du 28 janvier 2015). Ainsi, les motifs de la demande de visa - d'ordre uniquement familial - paraissent en adéquation avec la situation personnelle, familiale et professionnelle de la requérante. Quant à la couverture des frais de séjour en Suisse, elle paraît assurée au vu des garanties financières offertes par le recourant.</w:t>
      </w:r>
    </w:p>
    <w:p>
      <w:r>
        <w:rPr>
          <w:b/>
        </w:rPr>
        <w:t>E. 6.3</w:t>
      </w:r>
    </w:p>
    <w:p>
      <w:r>
        <w:t>Cela étant, prenant acte des assurances quant à la sortie de Suisse de B._______ données par les intéressés, le Tribunal ne décèle aucun indice permettant de mettre en doute la bonne foi de l'invitée et la volonté de son hôte de respecter les termes du visa sollicité. Les craintes émises par l'autorité intimée, bien que non dénuées de tout fondement, si l'on se réfère aux considérations figurant au ch. 5.2 ci-dessus, ne sauraient dès lors être partagées par le Tribunal au point de justifier un refus d'autorisation d'entrée. C'est le lieu de rappeler qu'en la matière, il suffit qu'il existe un haut degré de probabilité que l'intéressée retourne dans son pays à l'échéance du visa convoité (cf. arrêt du TAF C-548/2013 du 4 février 2014 consid. 6.4 et jurisprudence citée). Par ailleurs, le non-respect des termes et conditions d'octroi d'un visa est susceptible d'entraîner des conséquences négatives en cas de dépôt - par la personne invitée ou par les personnes invitantes - d'une nouvelle demande d'autorisation d'entrée, et de surcroît un tel comportement peut conduire les autorités compétentes à prononcer des sanctions pénales à l'encontre des secondes (art. 115 à 122 LEtr), ainsi qu'une interdiction d'entrée en Suisse à l'endroit de la première (art. 67 LEtr). Enfin, il apparaît que les autres conditions (cumulatives) de l'art. 5 LEtr sont remplies, voire qu'aucun motif de refus au sens de l'art. 12 al. 2 OEV n'est réalisé.</w:t>
      </w:r>
    </w:p>
    <w:p>
      <w:r>
        <w:rPr>
          <w:b/>
        </w:rPr>
        <w:t>E. 6.4</w:t>
      </w:r>
    </w:p>
    <w:p>
      <w:r>
        <w:t>En conséquence, eu égard aux liens familiaux et sociaux qui lient la requérante à son pays ainsi qu'à la situation professionnelle qui est la sienne, le Tribunal est amené à considérer que son retour à Madagascar à l'échéance du visa requis peut être tenu, avec un haut degré de probabilité, pour garanti, conformément aux exigences posées par l'art. 5 al. 2 LEtr. Tout bien considéré, le Tribunal estime qu'il serait inopportun de refuser à l'intéressée l'autorisation d'entrée sollicitée, l'intérêt privé de cette dernière à pouvoir rendre visite à sa soeur et à la famille de celle-ci, durant soixante-deux jours, prévalant sur l'intérêt public contraire à refuser le visa sollicité au vu des garanties apportées quant à une sortie de l'Espace Schengen dans le délai fixé.</w:t>
      </w:r>
    </w:p>
    <w:p>
      <w:r>
        <w:rPr>
          <w:b/>
        </w:rPr>
        <w:t>E. 7</w:t>
      </w:r>
    </w:p>
    <w:p>
      <w:r>
        <w:t>Le recours est en conséquence admis, la décision attaquée annulée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Obtenant gain de cause, le recourant n'a pas à supporter de frais de procédure (cf. art. 63 al. 1 a contrario et al. 3 PA). Bien qu'elle succombe, l'autorité inférieure n'a pas à supporter de frais de procédure (art. 63 al. 2 PA). S'agissant de l'éventuelle allocation de dépens, le Tribunal constate que le recourant, qui n'est pas représenté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et n'a en outre pas démontré que la présente procédure lui ait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