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C-6405/2007 vom 28. Februar 2008</w:t>
      </w:r>
    </w:p>
    <w:p>
      <w:r>
        <w:t>Bundesverwaltungsgericht, 2008-02-28, DE</w:t>
      </w:r>
    </w:p>
    <w:p>
      <w:r>
        <w:rPr>
          <w:b/>
        </w:rPr>
        <w:t xml:space="preserve">Quelle: </w:t>
      </w:r>
      <w:r>
        <w:t>https://mcp.opencaselaw.ch/entscheid/bvger_C-6405_2007</w:t>
      </w:r>
    </w:p>
    <w:p>
      <w:r>
        <w:t>FR: TAF C-6405/2007 du 28 février 2008</w:t>
      </w:r>
    </w:p>
    <w:p>
      <w:r>
        <w:t>IT: TAF C-6405/2007 del 28 febbraio 2008</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Ausdehnung der kantonalen Wegweisung auf das ganze Gebiet der Schweiz, die vom Bundesverwaltungsgericht endgültig beurteilt werden (Art. 83 Bst. c Ziff. 4 des Bundesgerichtsgesetzes vom 17. Juni 2005 [BGG, SR 173.110]).</w:t>
      </w:r>
    </w:p>
    <w:p>
      <w:r>
        <w:rPr>
          <w:b/>
        </w:rPr>
        <w:t>E. 1.2</w:t>
      </w:r>
    </w:p>
    <w:p>
      <w:r>
        <w:t>Mit Inkraftreten des Bundesgesetzes vom 16. Dezember 2005 über die Ausländerinnen und Ausländer (AuG, SR 142.20) am 1. Januar 2008 wurde das bisher geltende Bundesgesetz vom 26. März 1931 über Aufenthalt und Niederlassung der Ausländer (aANAG, BS 1 121) aufgehoben (Art. 125 i.V.m. Anhang I AuG). Das bisherige Recht bleibt jedoch auf Gesuche anwendbar, die vor dem Inkraftreten des AuG eingereicht wurden (Art. 126 Abs. 1 AuG, siehe hierzu die nachfolgende E. 2).</w:t>
      </w:r>
    </w:p>
    <w:p>
      <w:r>
        <w:rPr>
          <w:b/>
        </w:rPr>
        <w:t>E. 1.3</w:t>
      </w:r>
    </w:p>
    <w:p>
      <w:r>
        <w:t>Gemäss den Übergangsbestimmungen richtet sich das Verfahren nach dem neuen Recht (Art. 126 Abs. 2 AuG), womit nach Art. 112 Abs. 1 AuG die allgemeinen Bestimmungen der Bundesrechtspflege anwendbar sind. Sofern das Verwaltungsgerichtsgesetz nichts anderes bestimmt, richtet sich das Verfahren vor dem Bundesverwaltungsgericht somit nach dem VwVG (Art. 37 VGG).</w:t>
      </w:r>
    </w:p>
    <w:p>
      <w:r>
        <w:rPr>
          <w:b/>
        </w:rPr>
        <w:t>E. 1.4</w:t>
      </w:r>
    </w:p>
    <w:p>
      <w:r>
        <w:t>Der Beschwerdeführer ist als Verfügungsadressat zur Anfechtung der Verfügung legitimiert. Auf die frist- und formgerecht eingereichte Beschwerde ist deshalb einzutreten (Art. 48 ff. VwVG).</w:t>
      </w:r>
    </w:p>
    <w:p>
      <w:r>
        <w:rPr>
          <w:b/>
        </w:rPr>
        <w:t>E. 2</w:t>
      </w:r>
    </w:p>
    <w:p>
      <w:r>
        <w:t>Art. 126 Abs. 1 AuG enthält die intertemporalrechtliche Grundregel des neuen Rechts mit Bezug auf das materielle Recht. Sie besagt, dass auf Gesuche, die vor dem Inkrafttreten dieses Gesetzes eingereicht wurden, das bisherige Recht anwendbar bleibt. Offen bleibt, wie im Bereich der ausländerrechtlichen Eingriffsverwaltung zu verfahren ist, wo die Einleitung eines Verfahrens von Amtes wegen erfolgen kann.</w:t>
      </w:r>
    </w:p>
    <w:p>
      <w:r>
        <w:rPr>
          <w:b/>
        </w:rPr>
        <w:t>E. 2.1</w:t>
      </w:r>
    </w:p>
    <w:p>
      <w:r>
        <w:t>Art. 126 Abs. 1 AuG geht zurück auf den Art. 121 Abs. 1 des bundesrätlichen Entwurfs zum AuG (nachfolgend: AuG-Entwurf). Nach Abschluss des parlamentarischen Differenzbereinigungsverfahrens wurde im Verlauf der Prüfung des Gesetzestextes durch die parlamentarische Redaktionskommission offenbar, dass der ohne Beratung (AB 2004 N 729 ff und AB 2005 S. 323) angenommene Entwurf an ernsten Mängeln litt. Denn während die deutsche und die italienische Fassung des Art. 121 Abs. 1 AuG-Entwurf das neue Recht auf Verfahren anwendbar erklärte, die nach seinem Inkrafttreten eingeleitet wurden (BBl 2002 3851, FF 2002 3466), wollte die französische Fassung das neue Recht auf alle hängigen Verfahren angewendet wissen (FF 2002 3604). Darüber hinaus enthielt Art. 121 Abs. 1 AuG-Entwurf für das Beschwerdeverfahren eine Sonderanknüpfung. Diese besagte, dass auf das Beschwerdeverfahren das neue Recht nur anwendbar ist, wenn auch der angefochtene Entscheid nach dem Inkrafttreten des neuen Rechts erging. Diese zweifelsohne dem Art. 132 Abs. 1 BGG entlehnte Regelung (Art. 132 Abs. 1 BGG entspricht wörtlich der deutschen Version des Art. 126 Abs. 1 AuG-Entwurf) macht im angestammten Bereich Sinn (vgl. Denise Brühl-Moser, in: Basler Kommentar - Bundesgerichtsgesetz, Marcel Alexander Niggli/Peter Uebersax/Hans Wiprächtiger [Hrsg.], Basel 2008, Rz. 1 zu Art. 132), nicht jedoch im AuG. Der Grundgedanke des Entwurfs kommt in der deutschen und italienischen Fassung zum Ausdruck (die französische Version ist offensichtlich eine fehlerhafte Übersetzung), sofern der Verfahrensbegriff richtigerweise im Sinne des gesamten Instanzenzugs verstanden wird. Er lautet, dass ein Verfahren für alle Verfahrensstufen dem Recht zu unterstellen ist, unter dessen Geltung es erstinstanzlich eingeleitet wurde. Damit ist die Sonderanknüpfung für Beschwerdeverfahren nicht vereinbar. Dies schadet jedoch im Kontext des Art. 121 Abs. 1 AuG-Entwurf nicht, denn der weite Verfahrensbegriff lässt die Sonderanknüpfung überflüssig werden (Entscheide in Verfahren, die erstinstanzlich nach Inkrafttreten des neuen Rechts eingeleitet werden, ergehen notwendigerweise unter der Geltung des neuen Rechts). Die Gefahr einer sinnentstellenden engen Auslegung des Verfahrensbegriffs, verstanden als das Verfahren vor derselben Instanz, war indessen nicht zu unterschätzen, zumal Art. 132 Abs. 1 BGG als Vorlage für die intertemporale Regel des Art. 121 Abs. 1 AuG-Entwurf selbst auf einem engen Verfahrensbegriff beruht. Sinnentstellend ist die enge Auslegung deshalb, weil sie die Vorinstanz verpflichtet, altrechtlich eingeleitete Verfahren nach altem Recht abzuschliessen, während sie die nachfolgende Rechtsmittelinstanz anweist, dieselbe Sache nach Massgabe des neuen Rechts zu beurteilen.</w:t>
      </w:r>
    </w:p>
    <w:p>
      <w:r>
        <w:rPr>
          <w:b/>
        </w:rPr>
        <w:t>E. 2.2</w:t>
      </w:r>
    </w:p>
    <w:p>
      <w:r>
        <w:t>Mit dieser Lage konfrontiert, verzichtete die parlamentarische Redaktionskommission auf die Sonderanknüpfung für Beschwerdeverfahren und formulierte die intertemporale Regel im Sinne der Nachwirkung des neuen Rechts um. Als Anknüpfungspunkt wählte sie den Zeitpunkt des Gesuchs. In dieser Form lag Art. 121 Abs. 1 als neuer Art. 126 Abs. 1 AuG-Entwurf den Eidgenössischen Räten anlässlich der Schlussabstimmung vom 16. Dezember 2005 vor (vgl. http://www.parlament.ch &gt; Sessionen &gt; Schlussabstimmungstexte &gt; Winter 2005 &gt; 02.024 Bundesgesetz über die Ausländerinnen und Ausländer [AuG], besucht am 28. Januar 2008). Der eigentliche intertemporale Grundgedanke der Gesetzesvorlage wurde damit nur teilweise wiedergegeben. Zwar hebt Art. 126 Abs. 1 AuG mit seiner Anknüpfung an das Gesuch klarer als Art. 121 Abs. 1 AuG-Entwurf hervor, dass es die erstinstanzliche Verfahrenseröffnung ist, die das anwendbare materielle Recht für alle Verfahrensstufen einheitlich festlegt. Jedoch wurden gegenüber der bundesrätlichen Vorlage alle diejenigen Verfahren vom strengen Wortsinn der intertemporalen Regel ausgenommen, die nicht auf Gesuch hin eingeleitet werden. Ein vernünftiger Grund, der eine unterschiedliche Behandlung beider Verfahrensarten rechtfertigen würde, ist nicht ersichtlich. Zu einer solchen materiellen Änderung des bundesrätlichen Entwurfs wäre die parlamentarische Redaktionskommission auch gar nicht befugt. Ihre Zuständigkeit beschränkt sich in der Hauptsache auf die Bereitstellung sprachlich und formal korrekter Gesetzestexte für die Schlussabstimmung. Materielle Fehler, wie Lücken, Unklarheiten oder Widersprüche, korrigiert sie nicht selbst, sondern stellt den Räten Antrag (vgl. Art. 57 des Parlamentsgesetzes vom 13. Dezember 2002 [ParlG, SR 171.10] i.V.m. Art. 3 und 5 der Verordnung der Bundesversammlung vom 3. Oktober 2003 über die Redaktionskommission [SR 171.105]). Das ist vorliegend nicht geschehen. Offenkundig hat die parlamentarische Redaktionskommission übersehen, dass Migrationsbehörden im Bereich der ausländerrechtlichen Eingriffsverwaltung auch von Amtes wegen handeln (etwa Widerruf von Bewilligungen, Fernhalte- und Entfernungsmassnahmen). Ihrem redaktionellen Eingriff kann insoweit keine materielle Bedeutung beigemessen werden (vgl. Urteile des Bundesgerichts 5C.212/2001 vom 8. November 2001 E. 2a sowie 5C.163/2003 vom 18. September 2003 E. 2.1; vgl. dazu auch BGE 130 III 76 E. 4.1 S. 83 f.).</w:t>
      </w:r>
    </w:p>
    <w:p>
      <w:r>
        <w:rPr>
          <w:b/>
        </w:rPr>
        <w:t>E. 2.3</w:t>
      </w:r>
    </w:p>
    <w:p>
      <w:r>
        <w:t>Das bisherige materielle Recht ist deshalb gemäss Art. 126 Abs. 1 AuG - über seinen zu engen Wortlaut hinaus - auf alle Verfahren anwendbar, die erstinstanzlich vor Inkrafttreten des neuen Rechts eingeleitet wurden, unabhängig davon, ob sie von Amtes wegen oder auf Gesuch hin eröffnet wurden. Diese Voraussetzungen für die Nachwirkungen des alten Rechts sind in der vorliegenden Streitsache erfüllt.</w:t>
      </w:r>
    </w:p>
    <w:p>
      <w:r>
        <w:rPr>
          <w:b/>
        </w:rPr>
        <w:t>E. 3</w:t>
      </w:r>
    </w:p>
    <w:p>
      <w:r>
        <w:t>Gemäss Art. 12 Abs. 3 aANAG ist ein Ausländer unter anderem dann zur Ausreise verpflichtet, wenn ihm die Erteilung oder Verlängerung einer Bewilligung verweigert wird (gemäss Art. 15 Abs. 1 und Art. 18 aANAG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dem Kanton auf die ganze Schweiz ausdehnen (nachfolgend als Ausdehnung oder Ausdehnungsverfügung bezeichnet). Art. 17 Abs. 2 der Vollziehungsverordnung vom 1. März 1949 zum Bundesgesetz über Aufenthalt und Niederlassung der Ausländer (aANAV, AS 1949 l 228) präzisiert diese Norm, indem dort (letzter Satz) festgehalten wird, dass das Bundesamt "in der Regel die Ausdehnung der Wegweisung auf die ganze Schweiz" verfügt, "wenn nicht aus besonderen Gründen dem Ausländer Gelegenheit geboten werden soll, in einem anderen Kanton um eine Bewilligung nachzusuchen".</w:t>
      </w:r>
    </w:p>
    <w:p>
      <w:r>
        <w:rPr>
          <w:b/>
        </w:rPr>
        <w:t>E. 3.1</w:t>
      </w:r>
    </w:p>
    <w:p>
      <w:r>
        <w:t>Zum Verständnis der Regelung ist vorweg auf Art. 1a aANAG hinzuweisen. Danach ist ein Ausländer dann zur Anwesenheit in der Schweiz berechtigt, wenn er über eine Aufenthalts- oder Niederlassungsbewilligung verfügt oder nach dem Gesetz keiner solchen bedarf (zum letzteren vgl. Art. 2 aANAG und Art. 1 aANAV). Besitzt er keine Bewilligung und kann er sich auch nicht auf ein gesetzliches Bleiberecht berufen, ist sein Aufenthalt illegal, und er ist von Gesetzes wegen verpflichtet, die Schweiz zu verlassen (vgl. Art. 18 aANAG, sowie: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(vgl. Andreas Zünd, Beendigung der Anwesenheit, Entfernung und Fernhaltung, in: Peter Uebersax/Peter Münch/Thomas Geiser/Martin Arnold [Hrsg.], Ausländerrecht, Ausländerinnen und Ausländer im öffentlichen Recht, Privatrecht, Steuerrecht und Sozialrecht der Schweiz, Basel/Genf/München 2002, Rz. 6.53 mit Hinweisen) und zugleich dessen logische und nicht in Frage zu stellende Konsequenz (Art. 12 Abs. 3 zweiter Satz aANAG verleiht der Behörde kein Entschliessungsermessen; vgl. dazu Wisard, a.a.O., S. 130). Die Wegweisung kann bei dieser Konstellation namentlich nicht dadurch in Frage gestellt werden, dass die Ausreisepflicht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Artikel 14a aANAG, dazu weiter unten; vgl. ferner Wisard, a.a.O., S. 103).</w:t>
      </w:r>
    </w:p>
    <w:p>
      <w:r>
        <w:rPr>
          <w:b/>
        </w:rPr>
        <w:t>E. 3.2</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aANAG), kann er die Ausreiseverpflichtung selbst nicht zum Thema des Verfahrens machen (vorbehalten bleiben auch hier Vollzugshindernisse im Sinne von Artikel 14a aANAG, dazu weiter unten).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ihn auch nur zu dulden (vgl. Art. 18 aANAG; vorbehalten bleibt das Asylrecht, das hier nicht von Bedeutung ist, sowie die vorläufige Aufnahme, zu letzterer weiter unten).</w:t>
      </w:r>
    </w:p>
    <w:p>
      <w:r>
        <w:rPr>
          <w:b/>
        </w:rPr>
        <w:t>E. 3.3</w:t>
      </w:r>
    </w:p>
    <w:p>
      <w:r>
        <w:t>Vor diesem Hintergrund ist die Regelung von Art. 17 Abs. 2 aANAV zu verstehen, wonach auf die Ausdehnung verzichtet werden kann, wenn dem Ausländer aus besonderen Gründen Gelegenheit gegeben werden soll, in einem anderen Kanton um Bewilligung nachzusuchen (vgl. BGE 129 II 1 E. 3.3 S. 7). Da auf der einen Seite der Verzicht auf die Ausdehnung an der Illegalität des Aufenthaltes nichts ändert, und es auf der anderen Seite nicht angeht, einen rechtswidrigen Zustand in Kauf zu nehmen, ist Art. 17 Abs. 2 aANAV in dem Sinne auszulegen,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4</w:t>
      </w:r>
    </w:p>
    <w:p>
      <w:r>
        <w:t>Der Beschwerdeführer besitzt nach der vom Migrationsamte des Kantons Zürich am 15. Mai 2007 verfügten und anschliessend in Rechtskraft erwachsenen Nichtverlängerung der Aufenthaltsbewilligung keinen Rechtstitel, der ihm den weiteren rechtmässigen Verbleib in der Schweiz ermöglicht. Daran vermögen auch die bei der kantonalen Migrationsbehörde eingereichten Wiedererwägungsgesuche betreffend Verlängerung der Aufenthaltsbewilligung nichts zu ändern. In der Beschwerde wird sodann nicht geltend gemacht, dass ein anderer Kanton bereit wäre, seinen Aufenthalt zu regeln. Daher besteht kein Spielraum, um vom Grundsatz der Ausdehnung der kantonalen Wegweisung auf das ganze Gebiet der Schweiz abzuweichen. Das hat ebenfalls zur Folge, dass im vorliegenden Verfahren keine Argumente mehr vorgebracht werden können, die das rechtskräftig abgeschlossene Aufenthaltsverfahren betreffen bzw. dort hätten geltend gemacht werden müssen (Vorbringen der Ehefrau im Schreiben vom 7. November 2007, wonach - entgegen ihren früheren Angaben - die Ehe nicht zum Schein eingegangen worden sei).</w:t>
      </w:r>
    </w:p>
    <w:p>
      <w:r>
        <w:rPr>
          <w:b/>
        </w:rPr>
        <w:t>E. 5</w:t>
      </w:r>
    </w:p>
    <w:p>
      <w:r>
        <w:t>Unabhängig von der Bestätigung der Ausdehnungsverfügung bleibt zu prüfen, ob dem Vollzug der Wegweisung Hindernisse entgegenstehen (Art. 14a Abs. 2 bis 4 aANAG) und das zuständige Bundesamt deshalb gestützt auf Art. 14a Abs. 1 aANAG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a.M. 1990, S. 200). Vollzugshindernisse können somit die Ausdehnungsverfügung als solche nicht in Frage stellen (vgl. Verwaltungspraxis der Bundesbehörden [VPB] 62.52).</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aANAG).</w:t>
      </w:r>
    </w:p>
    <w:p>
      <w:r>
        <w:rPr>
          <w:b/>
        </w:rPr>
        <w:t>E. 6.1</w:t>
      </w:r>
    </w:p>
    <w:p>
      <w:r>
        <w:t>Aus den Akten ergeben sich keine Anhaltspunkte, die darauf hindeuten würden, einer Rückkehr des Beschwerdeführers stünden technische Hindernisse im Weg oder es drohe ihm in seinem Heimatland Verfolgung, Folter oder eine andere Art grausamer und unmenschlicher Behandlung oder Bestrafung (vgl. Art. 1A Ziff. 2 i.V.m. Art. 33 des Abkommens vom 28. Juli 1951 über die Rechtsstellung der Flüchtlinge [FK, SR 0.142.30] sowie Art. 3 der Konvention vom 4. November 1950 zum Schutze der Menschenrechte und Grundfreiheiten [EMRK, SR 0.101], vgl. auch Art. 25 Abs. 2 und 3 der Schweizerischen Bundesverfassung vom 18. April 1999 [BV, SR 101]).</w:t>
      </w:r>
    </w:p>
    <w:p>
      <w:r>
        <w:rPr>
          <w:b/>
        </w:rPr>
        <w:t>E. 6.2</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 des Bundesverwaltungsgerichts C-598/2006 vom 16. April 2007 E. 7.2 mit weiteren Hinweisen). Mit Ausnahme einiger Unruheherde im Südosten der Türkei besteht im Heimatland des Beschwerdeführers weder Krieg noch herrscht eine Situation allgemeiner Gewalt. Der Beschwerdeführer macht auch nicht geltend, er sei krank und auf eine notwendige medizinische Behandlung angewiesen, welche im Heimatland nicht erhältlich wäre. Von einer existenzgefährdenden Situation ist ebenfalls nicht auszugehen, dürfte es ihm nach der Rückkehr - trotz anfänglicher Schwierigkeiten nach sechsjähriger Abwesenheit - doch möglich sein, einer Erwerbstätigkeit nachzugehen und sich zu reintegrieren, wobei es ihm offen steht, sich allenfalls an einem anderen als seinem bisherigen Wohnort niederzulassen und eine neue Existenz aufzubauen. Im Übrigen ist der Umstand, dass sich der Beschwerdeführer in der Schweiz bis zu einem bestimmten Grad integriert hat, grundsätzlich nicht relevant. Bei der Beurteilung der Zumutbarkeit des Wegweisungsvollzugs kommt es nämlich nicht auf die Verhältnisse im Gastland (Aufenthaltsdauer, Integration, hier lebende Bekannte und Verwandte), sondern in erster Linie auf die Situation im Heimatland an (vgl. Urteile des Bundesverwaltungsgerichts C-1029/2007 vom 7. August 2007 E. 6.2 und C-626/2006 vom 14. Juni 2007 E. 6.2.2).</w:t>
      </w:r>
    </w:p>
    <w:p>
      <w:r>
        <w:rPr>
          <w:b/>
        </w:rPr>
        <w:t>E. 6.3</w:t>
      </w:r>
    </w:p>
    <w:p>
      <w:r>
        <w:t>Zusammenfassend ergibt sich, dass sich der Wegweisungsvollzug des Beschwerdeführers als möglich, zulässig und zumutbar erweist (Art. 14a Abs. 2 bis 4 aANAG).</w:t>
      </w:r>
    </w:p>
    <w:p>
      <w:r>
        <w:rPr>
          <w:b/>
        </w:rPr>
        <w:t>E. 7</w:t>
      </w:r>
    </w:p>
    <w:p>
      <w:r>
        <w:t>Aus diesen Darlegungen folgt, dass die angefochtene Verfügung Bundesrecht nicht verletzt (Art. 49 VwVG). Die Beschwerde ist demzufolge abzuweisen.</w:t>
      </w:r>
    </w:p>
    <w:p>
      <w:r>
        <w:rPr>
          <w:b/>
        </w:rPr>
        <w:t>E. 8</w:t>
      </w:r>
    </w:p>
    <w:p>
      <w:r>
        <w:t>Bei diesem Ausgang des Verfahrens sind dem Beschwerdeführer die Kosten aufzuerlegen (Art. 63 Abs. 1 VwVG in Verbindung mit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