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C-6402/2013 vom 25. April 2014</w:t>
      </w:r>
    </w:p>
    <w:p>
      <w:r>
        <w:t>Bundesverwaltungsgericht, 2014-04-25, DE</w:t>
      </w:r>
    </w:p>
    <w:p>
      <w:r>
        <w:rPr>
          <w:b/>
        </w:rPr>
        <w:t xml:space="preserve">Quelle: </w:t>
      </w:r>
      <w:r>
        <w:t>https://mcp.opencaselaw.ch/entscheid/bvger_C-6402_2013</w:t>
      </w:r>
    </w:p>
    <w:p>
      <w:r>
        <w:t>FR: TAF C-6402/2013 du 25 avril 2014</w:t>
      </w:r>
    </w:p>
    <w:p>
      <w:r>
        <w:t>IT: TAF C-6402/2013 del 25 aprile 2014</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Der angefochtenen Verfügung liegt das Gesuch eines kosovarischen Staatsangehörigen um Erteilung eines Visums für einen einmonatigen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Ausführungsverordnung gelangen nur soweit zur Anwendung, als die Schengen-Assoziierungsabkommen keine abweichenden Bestimmungen enthalten (Art. 2 Abs. 2 -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 Gächter/Thurn­herr, Stämpflis Handkommentar zum Bundesgesetz über die Auslän­derinnen und Ausländer, Bern 2010, Art. 5 N. 3 f.).</w:t>
      </w:r>
    </w:p>
    <w:p>
      <w:r>
        <w:rPr>
          <w:b/>
        </w:rPr>
        <w:t>E. 4.2</w:t>
      </w:r>
    </w:p>
    <w:p>
      <w:r>
        <w:t>Bürger von Drittstaaten dürfen über die Aussengrenzen des Schen­gen-Raums für einen Aufenthalt von höchstens 90 Tagen je Zeitraum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 wie es bereits der Beschwerdeführer in seiner Rechtsmitteleingabe ausführt -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Der Beschwerdeführer macht diesbezüglich geltend, es gäbe keine Anhaltspunkte dafür, dass er eine Gefahr im oberwähnten Sinne darstelle (vgl. Rechtsmitteleingabe vom 15. November 2013, Art. 5). Dem gilt es zu entgegnen, dass eine Gefahr für die öffentliche Ordnung im Sinne von Art. 5 Abs. 1 Bst. e SGK auch dann anzunehmen ist,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Aufgrund seiner kosovarischen Staatsangehörigkeit unterliegt der Gesuchsteller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des Gesuchstellers in seinem Heimatland als nicht genügend gesichert. Zur Einschätzung entsprechender Risiken sind sämtliche Umstände des konkreten Einzelfalles zu würdigen. 5.2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5.3 Dass im Heimatland des Gesuchstellers grosse Teile der Bevölkerung von wirtschaftlich ungünstigen Verhältnissen betroffen sind, kann nicht in Abrede gestellt werden. Das Bruttoinlandsprodukt (BIP) je Einwohner lag 2012 nach Schätzung des Internationalen Währungsfonds (IWF) bei 2.760 Euro, das BIP insgesamt bei etwa 5 Mrd. Euro. Damit bleibt Kosovo das ärmste Land auf dem Balkan. Allerdings sind zuverlässige Angaben über die Höhe der Transferleistungen der Diaspora (die Angaben gehen bis zu etwa 500 Mio. Euro/Jahr) und Informationen über das Ausmaß der Schattenwirtschaft letztlich nur schwer zu erhalten. Die Arbeitslosenrate stellt eine der grössten Herausforderungen für die sozio-ökonomische Entwicklung des Landes dar. Im ersten Halbjahr 2012 betrug die Arbeitslosenquote nach offiziellen Angaben 35,1%. Laut der gemeinsam von Weltbank und der kosovarischen Statistikagentur erstellten Studie "Labour Force Survey 2012" soll sie bei den 15-25jährigen sogar bei 60% liegen. Insgesamt ergibt sich ein leicht verbesserter Trend gegenüber den Vorjahren (Quelle: Deutsches Auswärtiges Amt, www.auswaertiges-amt.de &gt; Aussen- und Europapolitik &gt; Länderinformationen &gt; Kosovo &gt; Wirtschaftspolitik, Stand: Februar 2014, besucht im März 2014). Vor diesem Hintergrund besteht vielfach der Wille zur Auswanderung, welcher sich besonders stark bei jüngeren und ungebundenen Personen manifestiert. Ein im Ausland bereits bestehendes, minimales soziales Beziehungsnetz aus Verwandten oder Freunden ist zudem ein wichtiges Element, das den Entscheid auszuwandern noch akzentuieren kann. Dementsprechend hoch ist der Zuwanderungsdruck auf die Schweiz und andere Teile Europas. 5.4 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6.1 Beim Gesuchsteller handelt es sich um einen bald 25-jährigen, unverheirateten und kinderlosen Mann, der noch im Haushalt seiner Eltern lebt (vgl. vom Beschwerdeführer beantworteter Fragenkatalog der Stadt Bern vom 13. September 2013). Zwar wird dort weiter erwähnt, der Gesuchsteller unterstütze seine Eltern bei täglichen Arbeiten. Konkrete Pflichten des Gesuchstellers, welche einen besonderen Betreuungsbedarf (der Eltern) aufzeigen, der nur durch ihn selbst abgedeckt werden könnte, sind hingegen weder aus den Akten ersichtlich noch werden sie geltend gemacht. Es kann demnach nicht davon ausgegangen werden, im persönlichen oder familiären Umfeld des Gastes seien Verpflichtungen oder gar Abhängigkeiten vorhanden, die besondere Gewähr für eine Rückkehr ins Heimatland bieten könnten. 6.2 In wirtschaftlicher Hinsicht wird ausgeführt, der Gesuchsteller sei Student am "College S._______" in Pristina, wo er Wirtschaft studiere. Daneben habe er eine unbefristete Anstellung beim Unternehmen "C._______" (vgl. Beschwerde vom 15. November 2013). 6.2.1 Die Vorinstanz macht diesbezüglich geltend, die Angaben zur Erwerbstätigkeit des Gesuchstellers seien nicht glaubhaft. Insbesondere vermöge der im Rahmen des Beschwerdeverfahrens vorgelegte Arbeitsvertrag der Firma "C._______" nicht zu überzeugen. Aus dem Dokument gehe hervor, dass sich der Gesuchsteller seit dem 1. Juli 2011 in einem Arbeitsverhältnis mit dieser Firma befinde und dort eine wöchentliche Arbeitszeit von 40 Stunden zu leisten habe. Merkwürdig erscheine aber, dass der Gesuchsteller zu dieser Zeit bereits als Verkäufer für ein anderes Unternehmen ("Y._______") tätig gewesen sei, offensichtlich auch als Vollzeitangestellter. Gemäss Arbeitsvertrag mit der "Y._______" bestehe dieses Arbeitsverhältnis bereits ab dem 1. September 2010. Unter diesen Umständen könne vorliegend nicht von gefestigten beruflichen Verpflichtungen ausgegangen werden (vgl. Vernehmlassung vom 13. Januar 2014). 6.2.2 Diesbezüglich führt der Beschwerdeführer replikweise aus, der Gesuchsteller arbeite neben seinem Studium sowohl bei der Firma "C._______" als auch bei "Y._______". Es sei anzumerken, dass er am 22. November 2012 vom Unternehmen "C._______" verwarnt worden sei, weil er seinen vertraglichen Verpflichtungen nicht nachgekommen sei. Konkret habe er sein Pensum aufgrund der Verpflichtung bei "Y._______" nicht mehr erfüllt. Zum heutigen Zeitpunkt sei er nach wie vor bei beiden Unternehmen angestellt, erhalte aber bei der Firma "C._______" nur Lohnentschädigung für tatsächlich geleistete Arbeit. Die dortige Arbeit stelle damit ein Nebenerwerb dar. Damit sei hinreichend begründet, dass die Arbeitstätigkeit des Gesuchstellers keine Farce, sondern eine Tatsache darstelle. 6.2.3 Es ist nicht von der Hand zu weisen, dass bezüglich der beiden Arbeitsverhältnisse des Gesuchstellers einige Ungereimtheiten bestehen, die seine Angaben in Frage stellen: Machte er in seinem Gesuch um Erteilung eines Schengen-Visums lediglich geltend, er sei Student (vgl. Frage 19 "derzeitige berufliche Tätigkeit"), so wird in der Einsprache vom 1. Mai 2013 ausgeführt, der Gesuchsteller gehe nebst seinem Wirtschaftsstudium einer geregelten Arbeit nach. Es erscheint hingegen unwahrscheinlich, dass der Gesuchsteller seit geraumer Zeit - die Arbeitsverhältnisse ist er laut den Arbeitsverträgen am 1. September 2010 bzw. 1. Juli 2011 eingegangen - nebst seinem Wirtschaftsstudium über zwei Arbeitsstellen verfügt, zumal er zumindest mit der Firma "C._______" eine wöchentliche Arbeitszeit von 40 Stunden vertraglich vereinbart hat (vgl. Arbeitsvertrag mit der Firma "C._______" vom 1. Juli 2011 sowie undatierter Arbeitsvertrag mit der Firma "Y._______"). Ein Arbeitspensum also, welches einer Vollzeitstelle entspricht. Die zu den Akten gelegte Verwarnung der Firma "C._______" erfolgte denn auch bereits am 22. November 2012. Dort wurde er darauf hingewiesen, dass eine weitere Zusammenarbeit mit ihm nicht akzeptiert werden könne, sollte er sein Verhalten bezüglich Unterschreitens der vertraglich vereinbarten Arbeitszeit und Qualität der Arbeit nicht ändern. 6.2.4 Zudem ist nicht nachvollziehbar, wieso nicht schon in der Beschwerde vom 15. November 2013 beide angeblichen Arbeitsverhältnisse offen gelegt wurden, sondern dort nur auf die Erwerbstätigkeit bei der Firma "C._______" hingewiesen wurde, diese aber nun lediglich einen Nebenerwerb darstellen soll (vgl. Replik vom 14. Februar 2014). Kommt hinzu, dass die Arbeitstätigkeit bei der Firma "C._______" in der Beschwerde vom 15. November 2013 als "qualifiziert" eingestuft wurde, wovon bei einer Nebenerwerbstätigkeit wohl eher nicht ausgegangen werden kann. Damit ist auch die Aussage des Beschwerdeführers zu relativieren, aufgrund seiner qualifizierten Arbeitstätigkeit könne der Gesuchsteller nach Beendigung seines Studiums eine Anstellung erhalten. Vielmehr bestehen gewisse Zweifel, ob sich die Berufsaussichten mit dem angestrebten Abschluss tatsächlich so präsentieren wie von ihm geltend gemacht. 6.3 Abschliessend ist auch auf das Fehlen aktueller Arbeitsbestätigungen, Bankauszügen und Lohnabrechnungen hinzuweisen. Auch fehlen konkrete Angaben über die aktuellen finanziellen Verhältnisse seiner Familie; diesbezügliche Unterlagen wurden trotz zweimaliger Ankündigung nicht nachgereicht (vgl. Beweismittelverzeichnisse der Beschwerde vom 15. November 2013 und der Replik vom 14. Februar 2014). Es kann somit nicht davon ausgegangen werden, der Gesuchsteller lebe in soliden wirtschaftlichen Verhältnissen, die ihn von einer Emigration abzuhalten vermöchten.</w:t>
      </w:r>
    </w:p>
    <w:p>
      <w:r>
        <w:rPr>
          <w:b/>
        </w:rPr>
        <w:t>E. 7</w:t>
      </w:r>
    </w:p>
    <w:p>
      <w:r>
        <w:t>Vor dem allgemeinen und persönlichen Hintergrund konnte die Vorinstanz demnach davon ausgehen, dass keine hinreichende Gewähr für eine fristgerechte und anstandslose Wiederausreise des Gesuchstellers nach einem Besuchsaufenthalt besteht. Mit der fehlenden Gewähr für eine anstandslose Wiederausreise ist eine zwingende Voraussetzung zur Erteilung eines Schengen-Visums nicht erfüllt. An dieser Einschätzung vermögen auch die gegenteiligen Zusicherungen des Beschwerdeführers nichts zu ändern (vgl. Replik vom 14. Februar 2014). Als solcher kann er mit rechtlich verbindlicher Wirkung zwar für gewisse finanzielle Risiken im Zusammenhang mit dem Besuchsaufenthalt, nicht aber für ein bestimmtes Tun oder Unterlassen seines Gastes einstehen (vgl. in diesem Zusammenhang BVGE 2009/27 E. 9). Im Übrigen wurden auch keine Gründe für die Ausstellung eines Visums mit räumlich beschränkter Gültigkeit (vgl. dazu Ziffer 4.5 hiervor) vorgebracht und liegen auch nicht vor.</w:t>
      </w:r>
    </w:p>
    <w:p>
      <w:r>
        <w:rPr>
          <w:b/>
        </w:rPr>
        <w:t>E. 8</w:t>
      </w:r>
    </w:p>
    <w:p>
      <w:r>
        <w:t>Aus den vorstehenden Erwägungen folgt, dass die angefochtene Verfügung im Lichte von Art. 49 VwVG nicht zu beanstanden ist. Die Beschwerde ist daher abzuweisen.</w:t>
      </w:r>
    </w:p>
    <w:p>
      <w:r>
        <w:rPr>
          <w:b/>
        </w:rPr>
        <w:t>E. 9</w:t>
      </w:r>
    </w:p>
    <w:p>
      <w:r>
        <w:t>Bei diesem Ausgang des Verfahrens wird der unter­liegende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