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C-639/2006 vom 5. Juli 2007</w:t>
      </w:r>
    </w:p>
    <w:p>
      <w:r>
        <w:t>Bundesverwaltungsgericht, 2007-07-05, FR</w:t>
      </w:r>
    </w:p>
    <w:p>
      <w:r>
        <w:rPr>
          <w:b/>
        </w:rPr>
        <w:t xml:space="preserve">Quelle: </w:t>
      </w:r>
      <w:r>
        <w:t>https://mcp.opencaselaw.ch/entscheid/bvger_C-639_2006</w:t>
      </w:r>
    </w:p>
    <w:p>
      <w:r>
        <w:t>FR: TAF C-639/2006 du 5 juillet 2007</w:t>
      </w:r>
    </w:p>
    <w:p>
      <w:r>
        <w:t>IT: TAF C-639/2006 del 5 luglio 2007</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à l'art. 34 LTAF.</w:t>
      </w:r>
    </w:p>
    <w:p>
      <w:r>
        <w:rPr>
          <w:b/>
        </w:rPr>
        <w:t>E. 1.2</w:t>
      </w:r>
    </w:p>
    <w:p>
      <w:r>
        <w:t>En particulier, les décisions en matière d'extension à tout le territoire de la Confédération d'une mesure de renvoi cantonale prononcées par l'ODM peuvent, conformément à l'art. 20 al. 1 de la loi fédérale du 26 mars 1931 sur le séjour et l'établissement des étrangers (LSEE, RS 142.20) être contestées devant le TAF qui statue définitivement (cf. art. 83 let. c ch. 4 de la loi du 17 juin 2005 sur le Tribunal fédéral [LTF, RS 173.110], en relation avec l'art. 1 al. 2 LTAF).</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A._______ a qualité pour recourir (cf art. 20 al. 1 LSEE en relation avec l'art. 48 PA). Présenté dans la forme et les délais prescrits par la loi, le recours est recevable (cf. art. 50ss PA).</w:t>
      </w:r>
    </w:p>
    <w:p>
      <w:r>
        <w:rPr>
          <w:b/>
        </w:rPr>
        <w:t>E. 1.5</w:t>
      </w:r>
    </w:p>
    <w:p>
      <w:r>
        <w:t>Avant de procéder à l'examen au fond du recours, le Tribunal observe d'emblée que la décision cantonale de refus de renouveler l'autorisation de séjour et de renvoi étant en force, suite à l'arrêt du Tribunal administratif du canton de Vaud du 30 décembre 2005, confirmé par le Tribunal fédéral le 13 février 2006, l'objet de la présente procédure vise exclusivement à déterminer si c'est à bon droit que l'Office fédéral des migrations a étendu les effets de la décision cantonale de renvoi à tout le territoire de la Confédération. La conclusion du recours tendant à la délivrance d'une autorisation de séjour en faveur de A._______ est dès lors extrinsèque à l'objet du litige et, par voie de conséquence irrecevable.</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du règlement d'exécution du 1er mars 1949 de la loi fédérale sur le séjour et l'établissement des étrangers [RSEE, 142.201]).</w:t>
      </w:r>
    </w:p>
    <w:p>
      <w:r>
        <w:rPr>
          <w:b/>
        </w:rPr>
        <w:t>E. 3.1</w:t>
      </w:r>
    </w:p>
    <w:p>
      <w:r>
        <w:t>Dans le cadre de la présente procédure, le recourant fait valoir que la poursuite de son séjour en Suisse s'impose en raison de la présence à Lausanne de son épouse et de ses quatre enfants, auxquels il est très attaché. Il invoque dans ce contexte la protection de l'art. 8 de la Convention de sauvegarde des droits de l'Homme et des libertés fondamentales du 4 novembre 1950 (CEDH, RS 0.101) et se prévaut également de la durée de son séjour (dix-sept ans) et de sa bonne intégration en ce pays.</w:t>
      </w:r>
    </w:p>
    <w:p>
      <w:r>
        <w:rPr>
          <w:b/>
        </w:rPr>
        <w:t>E. 3.2</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(en l'espèce, condamnation pénale de l'intéressé, récidiviste, à neuf ans de réclusion pour infraction grave à la loi fédérale sur les stupéfiants notamment), ne sauraient être remis en question dans le cadre de la présente procédure fédérale d'extension. Ainsi, des arguments visant à démontrer que l'étranger a un intérêt privé prépondérant à demeurer en Suisse (liés, par exemple, à ses attaches familiales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(cf. consid. 4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SPOP-VD du 21 juillet 2005 refusant le renouvellement de l'autorisation de séjour de A._______ et prononçant le renvoi de l'intéressé du territoire cantonal, confirmée respectivement les 30 décembre 2005 et 13 février 2006 par le Tribunal administratif vaudois et le Tribunal fédéral, a acquis force de chose jugée et, partant, est exécutoire. L'intéressé, à défaut d'être encore titulaire d'un titre de séjour, n'est donc plus autorisé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5.2</w:t>
      </w:r>
    </w:p>
    <w:p>
      <w:r>
        <w:t>S'agissant de la possibilité de dite exécution (art. 14a al. 2 LSEE), le recourant indique, dans son courrier du 11 juin 2007, qu'il est retourné au Kosovo. Cette question n'a donc pas à être examinée plus avant.</w:t>
      </w:r>
    </w:p>
    <w:p>
      <w:r>
        <w:rPr>
          <w:b/>
        </w:rPr>
        <w:t>E. 5.3</w:t>
      </w:r>
    </w:p>
    <w:p>
      <w:r>
        <w:t>Par ailleurs, la décision d'extension du renvoi cantonal ne contrevient pas aux engagements de la Suisse relevant du droit international. En particulier, le recourant n'a pas rendu vraisemblable, ni au demeurant allégué, au cours de la présente procédure, qu'il encourait un risque concret et sérieux d'être victime de tortures ou de traitements inhumains ou dégradants au sens de l'art. 3 CEDH en cas de renvoi dans son pays d'origine (cf. sur ce point la jurisprudence de la Commission européenne des droits de l'homme dont des extraits ont été publiés dans la JAAC 67.138 consid. 1, 64.156 consid. 6.2 à 6.4, 62.89 consid. 1; voir également l'ATF 121 II 296 consid. 5a/aa, ainsi que Kaelin, op. cit., p. 245 et réf. citées).</w:t>
      </w:r>
    </w:p>
    <w:p>
      <w:r>
        <w:rPr>
          <w:b/>
        </w:rPr>
        <w:t>E. 5.4</w:t>
      </w:r>
    </w:p>
    <w:p>
      <w:r>
        <w:t>Reste encore à examiner la question de savoir si l'exécution du renvoi de A._______ dans son pays d'origine est raisonnablement exigible au sens de l'art. 14a al. 4 LSEE. Cette disposition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Le recourant allègue qu'au vu de son état de santé physique et psychique, son renvoi est inexigible (cf. recours du 28 avril 2006 p.11). A titre préliminaire, il convient de relever que, vu la gravité des infractions commises par A._______ et la peine de neuf ans de réclusion prononcée à son encontre par jugement du Tribunal correctionnel de Lausanne du 27 août 2002, l'art. 14a al. 6 LSEE est applicable en l'espèce, de sorte que ce dernier ne saurait invoquer l'inexigibilité de l'exécution de son renvoi au sens de l'art. 14a al. 4 LSEE. Au demeurant, à titre superfétatoire, il ressort du certificat médical établi le 25 avril 2006 par le Docteur C._______ que A._______ « est en traitement dans son cabinet depuis le 4 mars 2005 pour des lembo-sciatalgies droites et une hypertension artérielle. En outre, il présente un état dépressif suite à divers problèmes personnels. » Au vu du contenu de ce document, il n'apparaît pas que les affections décrites ne puissent être soignées en Serbie-et-Monténégro ou que la vie même de l'intéressé puisse être mise en danger par un retour dans son pays d'origine. Certes, dans les observations complémentaires qu'il a formulées lors de son dernier courrier du 11 juin 2007, A._______ invoque que depuis qu'il est séparé de sa famille, son état psychique n'a fait que se détériorer et qu'il n'a pas les moyens de s'assurer dans son pays d'origine. A ce propos le TAF considère toutefois que le recourant ne peut valablement prétendre encourir pour sa personne, dans son pays d'origine, des risques supérieurs à ceux auxquels est exposée la population vivant sur place. A ce sujet, il n'apparaît pas inutile de relever que le recourant, qui touche une rente complète de l'assurance invalidité, dispose manifestement de ressources financières devant lui permettre de vivre décemment dans son pays d'origine, compte tenu du faible coût de la vie en Serbie-et-Monténégro. Enfin, la situation familiale du recourant en Suisse et, en particulier, les relations qu'il entretient avec son épouse et ses enfants, ne sont susceptibles d'être prises en considération que lors de la phase antérieure de procédure de police des étrangers portant sur l'examen de la question du renouvellement des conditions de séjour de la personne concernée. Ainsi que relevé plus haut, les arguments visant à démontrer que l'étranger a un intérêt privé prépondérant à demeurer en Suisse (tels que, par exemple, les attaches familiales qu'il y possède) s'apprécient en effet lors de la pesée des intérêts publics et privés opérée dans le cadre de la procédure cantonale d'autorisation et des voies de recours y afférentes (cf. consid. 3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LSEE. Dès lors, même si, indépendamment de l'art. 14a al. 6 LSEE, le TAF devait se prononcer sur l'art. 14a al. 4 LSEE, il ne pourrait que constater que l'exécution du renvoi de Suisse de A._______ doit être considérée comme raisonnablement exigible.</w:t>
      </w:r>
    </w:p>
    <w:p>
      <w:r>
        <w:rPr>
          <w:b/>
        </w:rPr>
        <w:t>E. 6</w:t>
      </w:r>
    </w:p>
    <w:p>
      <w:r>
        <w:t>Les faits de la présente cause étant suffisamment établis par les pièces du dossier, il n'y a pas lieu de donner suite à la requisition présentée le 28 avril 2006 visant à ordonner l'audition orale de A._______ et de témoins. Une telle mesure s'avère d'autant moins nécessaire que l'autorité d'instruction a accordé au prénommé la possibilité de compléter ses écritures et de produire des dépositions écrites dans le cadre de la procédure de recours (cf. décision incidente du 3 mai 2006).</w:t>
      </w:r>
    </w:p>
    <w:p>
      <w:r>
        <w:rPr>
          <w:b/>
        </w:rPr>
        <w:t>E. 7</w:t>
      </w:r>
    </w:p>
    <w:p>
      <w:r>
        <w:t>Il ressort de ce qui précède que, par sa décision du 28 mars 2006, l'ODM n'a ni violé le droit fédéral ni constaté des faits pertinents de manière inexacte ou incomplète; en outre, cette décision n'est pas inopportune (art. 49 PA). En conséquence, le recours est rejeté, dans la mesure où il est recevable .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