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C-6395/2008 vom 4. September 2009</w:t>
      </w:r>
    </w:p>
    <w:p>
      <w:r>
        <w:t>Bundesverwaltungsgericht, 2009-09-04, FR</w:t>
      </w:r>
    </w:p>
    <w:p>
      <w:r>
        <w:rPr>
          <w:b/>
        </w:rPr>
        <w:t xml:space="preserve">Quelle: </w:t>
      </w:r>
      <w:r>
        <w:t>https://mcp.opencaselaw.ch/entscheid/bvger_C-6395_2008</w:t>
      </w:r>
    </w:p>
    <w:p>
      <w:r>
        <w:t>FR: TAF C-6395/2008 du 4 septembre 2009</w:t>
      </w:r>
    </w:p>
    <w:p>
      <w:r>
        <w:t>IT: TAF C-6395/2008 del 4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Y._______ et X._______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Dans la mesure où les recourants invoquent un vice de procédure, en reprochant à l'autorité inférieure d'avoir insuffisamment motivé sa décision, le TAF examinera en priorité ce grief. La jurisprudence a déduit du droit d'être entendu, garanti par l'art. 29 al. 2 de Constitution fédérale de la Confédération suisse du 18 avril 1999 (Cst., RS 101) et défini par les dispositions spéciales de procédure (tel l'art. 35 PA), le devoir pour l'autorité de motiver sa décision. Doctrine et jurisprudence s'accordent à dire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Il faut en l'occurrence que les parties puissent apprécier la portée de la décision prise à leur égard et, le cas échéant, recourir contre elle en connaissance de cause (cf. ATF 130 II 530 consid. 4.3 et jurisp. cit. ; arrêt du Tribunal fédéral 4P.188/2005 du 23 décembre 2005 consid. 4.3 et jurisp. cit.; SJ 1989 no 6 p. 109 et 1987 no 39 p. 647ss ; JAAC 69.92 consid. 5 à 7 ; MARK E. VILLIGER, Die Pflicht zur Begründung von Verfügungen, in ZBl 4/1989 p. 139ss ; ANDRÉ GRISEL, Traité de droit administratif, vol. I et II, Neuchâtel 1984, p. 374ss et 840ss ; ARTHUR HAEFLIGER, Alle Schweizer sind vor dem Gesetze gleich, 1985, p. 147ss ; THOMAS COTTIER, Der Anspruch auf rechtliches Gehör, Recht 4/1984, p. 126ss). Le Tribunal fédéral précise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arrêt du Tribunal fédéral 4P.188/2005 précité). Le droit d'obtenir une décision motivée est une garantie constitutionnelle de nature formelle, dont la violation entraîne en principe l'annulation de la décision attaquée indépendamment des chances de succès du recours sur le fond (cf. ATF 126 I 19 consid. 2d/bb p. 24, ATF 126 V 130 consid. 2b p. 131s., ATF 122 II 464 consid. 4a p. 469, et jurisp. cit.).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Toutefois, lorsque le vice est constitutif d'une grave violation de procédure, il est exclu que l'autorité de recours le répare, motif pris du principe de l'économie de la procédure (cf. JICRA 1994 no 1 consid. 6 p. 15ss ; LORENZ KNEUBÜHLER, Gehörverletzung und Heilung, in Zbl 3/1998, p. 112ss).</w:t>
      </w:r>
    </w:p>
    <w:p>
      <w:r>
        <w:rPr>
          <w:b/>
        </w:rPr>
        <w:t>E. 4</w:t>
      </w:r>
    </w:p>
    <w:p>
      <w:r>
        <w:t>En l'occurrence, force est de constater que, dans sa décision du 1er septembre 2008, l'ODM a indiqué les motifs essentiels (soit en substance les importantes disparités économiques entre le Maroc et la Suisse et l'absence d'obligations familiales durables du requérant dans son pays d'origine) pour lesquels il considérait que la sortie de Suisse de X._______ au terme du séjour sollicité ne pouvait être considérée comme suffisamment garantie. La motivation contenue dans la décision attaquée doit ainsi être considérée comme suffisante au regard de la doctrine et de la jurisprudence précitées. Il appert par ailleurs que le recourant a été en mesure de saisir le fondement essentiel que l'autorité de première instance avait retenu à l'appui de sa décision. Preuve en est le mémoire de recours circonstancié qu'il a déposé contre cette décision. De plus, l'ODM a explicité, dans son préavis du 3 décembre 2008, les raisons pour lesquelles il considérait que X._______ ne présentait pas les garanties nécessaires en vue d'une sortie de ce pays dans les délais impartis; la possibilité a également été donnée aux recourants de développer leurs arguments dans le cadre de la présente procédure. Ceux-ci ont donc eu la faculté de prendre position de façon adéquate au sujet des éléments qui ont motivé la décision querellée (cf. ATF 127 V 431 consid. 3d/aa, pp. 437/438, 126 V 130 consid. 2b, p. 132, 125 I 209 consid. 9a, p. 219; SJ 2003 I 317 consid. 2.2; JAAC 68.122 consid. 4a; HANSJÖRG SEILER, Abschied von der formellen Natur des rechtlichen Gehörs, in SJZ 2004 p. 377 ss). Aussi le grief formel invoqué par les recourants doit-il être écarté.</w:t>
      </w:r>
    </w:p>
    <w:p>
      <w:r>
        <w:rPr>
          <w:b/>
        </w:rPr>
        <w:t>E. 5</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6</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7.1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7.2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7.3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8</w:t>
      </w:r>
    </w:p>
    <w:p>
      <w:r>
        <w:t>Le Règlement (CE) no 539/2001 du Conseil du 15 mars 2001 (JO L 81 du 21 mars 2001, p. 1-7) différencie, en son art. 1 par. 1 et 2, les ressortissants des Etats tiers selon qu'ils sont soumis ou non à l'obligation du visa. En tant que ressortissant marocain, X._______ est soumis à l'obligation du visa.</w:t>
      </w:r>
    </w:p>
    <w:p>
      <w:r>
        <w:rPr>
          <w:b/>
        </w:rPr>
        <w:t>E. 9</w:t>
      </w:r>
    </w:p>
    <w:p>
      <w:r>
        <w:t>Dans la décision attaquée, rendue en application de l'art. 5 LEtr, l'ODM a refusé d'autoriser l'intéressé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 et touristique.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En l'occurrence, il faut prendre en considération la situation socio-économique peu favorable prévalant au Maroc ainsi que les disparités économiques importantes existant entre ce pays et la Suisse. Même si le Maroc connaît une forte croissance économique, l'économie reste toutefois fragile, étant fortement axée sur l'agriculture et à ce titre largement tributaire des conditions météorologiques. En 2007, le taux de chômage atteignait 9.8% et le PIB par habitant était de 2 416 USD (cf. site du Ministère des affaires étrangères et européennes de la République française www.diplomatie.gouv.fr &gt; Pays - zone géo &gt; Maroc &gt; Présentation du Maroc, mis à jour en novembre 2008, visité en août 2009).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Une demande d'autorisation d'entrée pour tourisme ou visite peut ainsi représenter un moyen détourné de faciliter la venue en Suisse de personnes désirant en réalité s'y établir durablement. L'autorité ne saurait toutefois se fonder sur la seule situation régnant dans le pays d'origine du requérant, mais doit également prendre en considération les particularités du cas d'espèce. Ainsi, si un invité assume dans son pays d'origine d'importantes responsabilités, tant au plan professionnel, social que familial, on pourra établir un pronostic favorable quant à son départ de la Suisse à l'issue de la validité de son visa. Au contraire, si un invité n'a pas d'obligations significatives dans son pays, on considère comme élevé le risque d'un comportement contraire aux prescriptions de police des étrangers.</w:t>
      </w:r>
    </w:p>
    <w:p>
      <w:r>
        <w:rPr>
          <w:b/>
        </w:rPr>
        <w:t>E. 10</w:t>
      </w:r>
    </w:p>
    <w:p>
      <w:r>
        <w:t>En l'occurrence, sans pour autant minimiser les raisons d'ordre familial qui motivent sa demande, le Tribunal ne saurait admettre, au vu de l'ensemble des éléments du dossier, que le retour de X._______ au Maroc au terme de l'autorisation demandée puisse être considéré comme suffisamment garanti. Ainsi qu'il ressort des renseignements qui ont été communiqués aux autorités suisses dans le cadre de la présente affaire, l'intéressé est célibataire et sans charge de famille. Il serait donc à même de se créer une nouvelle existence hors de sa patrie, sans que cela n'entraîne pour lui de difficulté majeure sur le plan personnel. Si les recourants ont certes allégué, dans leurs diverses écritures, que X._______ avait toute sa famille au Maroc, à l'exception de sa soeur domiciliée en Suisse, ils n'ont toutefois pas précisé quels membres de sa famille vivaient dans son pays. Cela nonobstant, même si le prénommé paraît disposer d'un certain encadrement familial au Maroc et si de tels liens peuvent, dans une certaine mesure, inciter une personne, au terme du séjour envisagé en Suisse, à retourner dans son pays, ils ne sauraient toutefois suffire, en l'espèce, à garantir le retour de l'intéressé au Maroc, au vu du contexte socio-économique et politique de ce pays. Sur un autre plan, s'il ressort du dossier que X._______ est propriétaire de bétail et de terres agricoles au Maroc, cet élément ne représente pas davantage un facteur suffisant offrant l'assurance que son départ interviendra dans les délais prévus. Il convient de remarquer d'abord que les recourants n'ont pas expliqué par qui le prénommé serait remplacé dans la prise en charge de son bétail durant son absence. Par ailleurs, le fait que l'intéressé serait prêt à s'absenter durant près d'un mois à l'étranger relativise fortement ses obligations professionnelles au Maroc et donne à penser qu'il serait à même de prolonger son séjour en Suisse. Force est de constater ensuite que, compte tenu de sa formation, X._______ pourrait facilement être tenté de poursuivre son séjour en Suisse pour y travailler dans le monde agricole, à l'instar d'un grand nombre d'étrangers qui sont actifs en Suisse dans ce domaine. Dans ce contexte, il ne faut pas perdre de vue que les perspectives de gain y prévalant sont sensiblement plus élevées que celles existant au Maroc et cette situation serait de nature à inciter l'intéressé à prolonger son séjour en Suisse. Cela étant, le désir du requérant, au demeurant parfaitement compréhensible, de venir en Suisse rendre visite à sa soeur ne constitue pas à lui seul un motif justifiant l'octroi d'un visa.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Pareilles considérations ne sont ainsi pas sans avoir une incidence importante dans l'appréciation du cas particulier. Il sied encore de relever que le refus d'une autorisation d'entrée ne remet nullement en cause la bonne foi ou l'honnêteté des personnes résidant en Suisse qui ont invité des parents domiciliés à l'étranger pour un séjour touristique et se sont engagées à garantir les frais y relatifs et le départ de leurs invités. Par surabondance, il convient encore de relever qu'un refus d'autorisation d'entrée prononcé par les autorités helvétiques n'a pas en l'occurrence pour conséquence d'empêcher les recourants de maintenir des relations, les intéressés pouvant tout aussi bien se rencontrer hors de Suisse, nonobstant les inconvénients d'ordre pratique ou de convenance personnelle que cela pourrait engendrer.</w:t>
      </w:r>
    </w:p>
    <w:p>
      <w:r>
        <w:rPr>
          <w:b/>
        </w:rPr>
        <w:t>E. 11</w:t>
      </w:r>
    </w:p>
    <w:p>
      <w:r>
        <w:t>Au vu de l'ensemble des circonstances, le Tribunal estime qu'il ne saurait être reproché à l'ODM d'avoir considéré que le départ de X._______ à l'échéance du visa requis n'était pas suffisamment assuré et, partant, d'avoir refusé la délivrance d'une autorisation d'entrée en sa faveur.</w:t>
      </w:r>
    </w:p>
    <w:p>
      <w:r>
        <w:rPr>
          <w:b/>
        </w:rPr>
        <w:t>E. 12</w:t>
      </w:r>
    </w:p>
    <w:p>
      <w:r>
        <w:t>Il ressort de ce qui précède que la décision de l'ODM du 1er septembre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