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C-6389/2012 vom 5. September 2013</w:t>
      </w:r>
    </w:p>
    <w:p>
      <w:r>
        <w:t>Bundesverwaltungsgericht, 2013-09-05, IT</w:t>
      </w:r>
    </w:p>
    <w:p>
      <w:r>
        <w:rPr>
          <w:b/>
        </w:rPr>
        <w:t xml:space="preserve">Quelle: </w:t>
      </w:r>
      <w:r>
        <w:t>https://mcp.opencaselaw.ch/entscheid/bvger_C-6389_2012</w:t>
      </w:r>
    </w:p>
    <w:p>
      <w:r>
        <w:t>FR: TAF C-6389/2012 du 5 septembre 2013</w:t>
      </w:r>
    </w:p>
    <w:p>
      <w:r>
        <w:t>IT: TAF C-6389/2012 del 5 settembre 2013</w:t>
      </w:r>
    </w:p>
    <w:p>
      <w:pPr>
        <w:pStyle w:val="Heading2"/>
      </w:pPr>
      <w:r>
        <w:t>Regeste</w:t>
      </w:r>
    </w:p>
    <w:p>
      <w:r>
        <w:t>Divieto d'entrata</w:t>
      </w:r>
    </w:p>
    <w:p>
      <w:pPr>
        <w:pStyle w:val="Heading2"/>
      </w:pPr>
      <w:r>
        <w:t>Erwägungen</w:t>
      </w:r>
    </w:p>
    <w:p>
      <w:r>
        <w:rPr>
          <w:b/>
        </w:rPr>
        <w:t>E. 1.1</w:t>
      </w:r>
    </w:p>
    <w:p>
      <w:r>
        <w:t>Riservate le eccezioni previste all'art. 32 della legge federale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DTAF 2011/43 consid. 6.1).</w:t>
      </w:r>
    </w:p>
    <w:p>
      <w:r>
        <w:rPr>
          <w:b/>
        </w:rPr>
        <w:t>E. 3</w:t>
      </w:r>
    </w:p>
    <w:p>
      <w:r>
        <w:t>A._______ sostiene che l'UFM non ha minimamente sostanziato i criteri che l'indurrebbero a ritenere che "il rischio di recidiva non possa essere escluso", limitandosi ad una generica valutazione, venendo quindi meno al suo obbligo di motivazione. Il ricorrente censura inoltre il fatto che la decisione impugnata sia stata emanata senza firma, non essendo espressamente indicata la base legale che autorizzi tale procedimento e la circostanza che l'autorità di prime cure possa fondare la propria decisione su un patteggiamento estero non menzionato nel casellario giudiziale del paese che l'ha emesso. Il Tribunale deve quindi preliminarmente esaminare tali censure di natura formale.</w:t>
      </w:r>
    </w:p>
    <w:p>
      <w:r>
        <w:rPr>
          <w:b/>
        </w:rPr>
        <w:t>E. 3.1</w:t>
      </w:r>
    </w:p>
    <w:p>
      <w:r>
        <w:t>Per quanto attiene la prima censura sollevata dall'interessato, si rammenta che la giurisprudenza ha dedotto dal diritto di essere sentito l'ob­bligo per l'autorità di motivare la sua decisione, così da permettere ai destinatari e ad altri interessati di comprenderla, eventualmente di im­pugnarla, e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rispettato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3.1.1</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consid. 2.6.1 e giurisprudenza ivi citata; sentenza del Tribunale federale 1C_112/2011 del 13 luglio 2011 consid. 2.1.3 e giu­risprudenza ivi citata).</w:t>
      </w:r>
    </w:p>
    <w:p>
      <w:r>
        <w:rPr>
          <w:b/>
        </w:rPr>
        <w:t>E. 3.1.2</w:t>
      </w:r>
    </w:p>
    <w:p>
      <w:r>
        <w:t>Nella fattispecie, l'UFM ha pronunciato un divieto d'entrata della durata di 7 anni, considerando quindi che il ricorrente costituisce un grave pericolo per l'ordine e la sicurezza pubblici ai sensi dell'art. 67 cpv. 3 LStr, unica circostanza in cui esso può emanare un provvedimento amministrativo eccedente la durata massima di 5 anni. Ora, la motivazione della decisione impugnata risulta succinta e stringata e l'autorità di prime cure non precisa sufficientemente quali sono i motivi che l'hanno condotta a ritenere che A._______ costituisce un pericolo grave ai sensi della suddetta disposizione. L'UFM ha quindi violato il suo obbligo di motivare ancorato nell'art. 35 cpv. 1 PA. Tuttavia, visto l'esito del ricorso, favorevole all'interessato, non si giustifica l'annullamento della decisione impugnata (cfr. sentenza del Tribunale amministrativo federale C-3091/2011 del 16 agosto 2013 consid. 6.1.5).</w:t>
      </w:r>
    </w:p>
    <w:p>
      <w:r>
        <w:rPr>
          <w:b/>
        </w:rPr>
        <w:t>E. 3.2</w:t>
      </w:r>
    </w:p>
    <w:p>
      <w:r>
        <w:t>Per quanto riguarda la seconda eccezione occorre rilevare che la firma apposta su di una decisione non rappresenta un requisito di validità ai sensi del diritto federale (cfr. sentenze del Tribunale amministrativo federale C-744/2011 del 23 novembre 2012 consid. 5.2 e C-1346/2010 del 14 gennaio 2011 consid. 3.2): infatti essa svolge unicamente la funzione di attestato rispettivamente di identificazione del funzionario competente. Nello specifico, le decisioni di divieto d'entrata, che sono particolarmente numerose (8'382 annue secondo il rapporto 2011 dell'UFM), si differenziano dalle altre decisioni amministrative prese dall'autorità inferiore sia nell'emanazione sia nella loro trattazione. In particolare essa viene sempre analizzata e quindi emanata da un funzionario responsabile presso l'UFM; inoltre viene registrata nel sistema d'informazione centrale sulla migrazione (SIMIC), dove, sulla base di una registrazione elettronica, viene fatto corrispondere un determinato funzionario responsabile. Quest'ultimo è parimenti indicato nella decisione con una sigla e pertanto sempre identificabile. Va detto però che il ricorrente, se lo desidera, può in ogni momento chiedere l'emanazione della decisione con l'apposizione della firma in originale. Il numero dell'incarto abbinato alla sigla corrisponde, in ottica di identificazione, al facsimile di una firma, la quale ai sensi della giurisprudenza del Tribunale federale può sostituire la firma originale. A fronte di quanto detto, ne discende che la forma della decisione, in particolare con l'assenza di firma in originale, è dunque da considerare sufficiente da un punto di vista giuridico.</w:t>
      </w:r>
    </w:p>
    <w:p>
      <w:r>
        <w:rPr>
          <w:b/>
        </w:rPr>
        <w:t>E. 3.3</w:t>
      </w:r>
    </w:p>
    <w:p>
      <w:r>
        <w:t>Per quanto concerne infine la censura "ne bis in idem", giova rammentare come con sentenza 1B_358/2009 del 29 dicembre 2009 inerente un ricorso inoltrato da A._______ avverso la sentenza del 2 novembre 2009 con la quale la Camera dei ricorsi penali del Tribunale d'appello (CRP) confermava le decisioni 2 giugno e 8 ottobre 2009 del Giudice dell'istruzione e dell'arresto (GIAR) inerenti la sua carcerazione preventiva, il Tribunale federale ha ritenuto come i fatti all'origine del patteggiamento italiano del 21 settembre 2009 fossero solo in parte identici a quelli del procedimento elvetico, sancendo di conseguenza la non applicabilità dell'art. 54 della Convenzione di applicazione dell'Accordo di Schengen del 14 giugno 1985, firmata il 19 giugno 1990 (CAS). Nella sua sentenza del 18 giugno 2010 la CAC ha ripreso e condiviso l'opinione dei Tribunali che sono già stati chiamati a decidere in merito alla suddetta questione (cfr. pag. 60 e segg., in particolare pag. 72). Allo stesso modo la CARP nella sua sentenza del 18 aprile 2011 (pag. 48 e 49). Anche quest'ultima allegazione del ricorrente deve quindi essere respinta.</w:t>
      </w:r>
    </w:p>
    <w:p>
      <w:r>
        <w:rPr>
          <w:b/>
        </w:rPr>
        <w:t>E. 4.1</w:t>
      </w:r>
    </w:p>
    <w:p>
      <w:r>
        <w:t>Il divieto d'entrata in Svizzera è disciplinato all'art. 67 LStr.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4.2</w:t>
      </w:r>
    </w:p>
    <w:p>
      <w:r>
        <w:t>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Con riferimento alle nozioni d'ordine e di sicurezza pubblici (art. 67 cpv. 2 let. a LStr), occorre osservare che essi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termine di "sicurezza pubblica" significa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4.4</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Zurigo 2009, art. 67 LStr, cifra 2).</w:t>
      </w:r>
    </w:p>
    <w:p>
      <w:r>
        <w:rPr>
          <w:b/>
        </w:rPr>
        <w:t>E. 5</w:t>
      </w:r>
    </w:p>
    <w:p>
      <w:r>
        <w:t>In concreto il ricorrente è di nazionalità italiana, di conseguenza nella valutazione della presente causa è necessario tenere conto delle disposizioni dell'ALC. La LStr è dunque applicabile alla presente fattispecie solo nella misura in cui l'ALC non contiene disposizioni derogatorie o se la presente legge prevede disposizioni più favorevoli (art. 2 cpv. 2 LStr).</w:t>
      </w:r>
    </w:p>
    <w:p>
      <w:r>
        <w:rPr>
          <w:b/>
        </w:rPr>
        <w:t>E. 5.1</w:t>
      </w:r>
    </w:p>
    <w:p>
      <w:r>
        <w:t>Giusta l'art. 1 §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Ne deriva che il provvedimento in esame, limitativo di una prerogativa stabilita dall'Accordo può essere fondato solo su motivi di ordine pubblico, pubblica sicurezza e pubblica sanità, ai sensi dell'art. 5 § 1 Allegato I ALC. Queste nozioni devono essere definite ed interpretate alla luce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e della giurisprudenza della Corte di giustizia delle Comunità europee (CGCE) anteriore alla firma dell'ALC (art. 5 § 2 allegato I ALC in relazione con l'art. 16 § 2 ALC; DTF 136 II 5 consid. 4.1., DTF 131 II 352 consid. 3.1., DTF 130 II 1 consid. 3.6.1.).</w:t>
      </w:r>
    </w:p>
    <w:p>
      <w:r>
        <w:rPr>
          <w:b/>
        </w:rPr>
        <w:t>E. 5.2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6.1</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e la sicurezza pubblici (DTF 131 II 352 consid. 3.2., DTF 130 II 176 consid. 3.4.1., cfr. anche la sentenza del Tribunale federale 2C_664/2009 precitata consid. 4.1 e le sentenze della CGCE ivi citate).</w:t>
      </w:r>
    </w:p>
    <w:p>
      <w:r>
        <w:rPr>
          <w:b/>
        </w:rPr>
        <w:t>E. 6.2</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CEDU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7.1</w:t>
      </w:r>
    </w:p>
    <w:p>
      <w:r>
        <w:t>Nella fattispecie, dagli atti di causa si evince che con sentenza del 18 aprile 2011 la CARP, in parziale riforma della sentenza emessa il 18 giugno 2010 dalla CAC di Lugano, ha ritenuto A._______ colpevole di riciclaggio di denaro e ripetuta falsità in documenti, condannandolo alla pena di 2 anni e 6 mesi di detenzione, da dedursi il carcere preventivo sofferto. La pena inflitta è stata sospesa condizionalmente in ragione di 17 mesi, per un periodo di prova di 2 anni, per il resto da espiare. In Svizzera l'interessato si è pertanto in particolare reso colpevole di reati di carattere patrimoniale. Inoltre, in data 21 settembre 2009 il Tribunale di Milano ha condannato il ricorrente alla pena di 3 anni di reclusione oltre al pagamento di una multa di Euro 400.-, nonché alla pena accessoria dell'interdizione dai pubblici uffici per 5 anni, per associazione per delinquere (reato commesso dal giugno 2008 fino al gennaio 2009) e furto, ritenute le diminuenti di rito del patteggiamento (cfr. estratto del casellario giudiziale italiano del 3 luglio 2012).</w:t>
      </w:r>
    </w:p>
    <w:p>
      <w:r>
        <w:rPr>
          <w:b/>
        </w:rPr>
        <w:t>E. 7.2</w:t>
      </w:r>
    </w:p>
    <w:p>
      <w:r>
        <w:t>Si sottolinea a titolo generale come, al di là del manifesto interesse pubblico a perseguire atti illeciti come quelli commessi in Svizzera dal ricorrente, questi ultimi non riguardano beni giuridici estremamente sensibili come la vita e l'integrità fisica, né sono legati al commercio di stupefacenti o altri crimini specialmente pericolosi per l'ordine pubblico (cfr. DTF 131 II 352 consid. 4.3.1 e DTF 125 II 521 consid. 4a/aa; Istruzioni sull'Ordinanza del 22 maggio 2002 concernente l'introduzione graduale della libera circolazione delle persone tra la Confederazione Svizzera e la Comunità europea e i suoi Stati membri nonché gli Stati membri dell'Associazione europea di libero scambio: Ordinanza sull'introduzione della libera circolazione delle persone [OLCP; RS 142.203], pag. 77). In queste circostanze, il provvedimento litigioso potrebbe eventualmente apparire giustificato soltanto a fronte di elementi concreti e precisi che permettano di formulare una prognosi negativa sulla condotta dell'interessato (cfr. sentenze del Tribunale federale 2A.397/2004 del 14 aprile 2005 consid. 4 e 2A.410/2004 del 14 aprile 2005 consid. 4).</w:t>
      </w:r>
    </w:p>
    <w:p>
      <w:r>
        <w:rPr>
          <w:b/>
        </w:rPr>
        <w:t>E. 8.1</w:t>
      </w:r>
    </w:p>
    <w:p>
      <w:r>
        <w:t>Occorre dunque esaminare se il comportamento tenuto da A._______ costituisce una minaccia a tutt'oggi attuale. Nel suo gravame l'interessato ha in primo luogo affermato che i reati per i quali è stato condannato non riguardano beni giuridici estremamente sensibili quali la vita e l'integrità fisica, né sono legati al commercio di stupefacenti o ad altri crimini particolarmente pericolosi per l'ordine pubblico. Egli ha poi sottolineato di essere stato prosciolto dall'accusa di truffa i cui fatti costituiscono sostanzialmente l'oggetto del patteggiamento italiano, di modo che egli risulterebbe incensurato fino alla condanna subita in Svizzera, precisando come l'autorità federale abbia fondato il proprio provvedimento amministrativo su un patteggiamento estero neppure menzionato nel casellario giudiziale italiano. L'interessato ha infine rammentato come le autorità penali elvetiche abbiano sospeso la condanna erogata nei suoi confronti per il periodo minimo previsto dalla legge.</w:t>
      </w:r>
    </w:p>
    <w:p>
      <w:r>
        <w:rPr>
          <w:b/>
        </w:rPr>
        <w:t>E. 8.2</w:t>
      </w:r>
    </w:p>
    <w:p>
      <w:r>
        <w:t>A._______ si è reso colpevole nel suo paese d'origine dei reati di furto ed associazione per delinquere, i quali hanno comportato la sua condanna a 3 anni di reclusione, poco importa se non scontati a seguito della concessione del patteggiamento. Egli si è poi reso protagonista di riciclaggio di denaro, reato che, seppur di natura patrimoniale, costituisce un'infrazione particolarmente grave nella misura in cui l'autore sapeva o doveva presumere che i valori patrimoniali provenivano da un crimine. Nella fattispecie, sebbene la commissione del reato sia stata limitata nel tempo (gennaio 2009), oggetto del riciclaggio sono state ingenti somme di denaro (almeno 19 milioni di Euro). A questo titolo le autorità penali ticinesi hanno ritenuto per A._______ e un coimputato che "la loro colpa è molto grave già solo per gli importi in gioco e per la professionalità che hanno messo in atto nel commettere i reati loro ascritti. Anche loro due sono uomini d'affari scafati e di lunga esperienza. Non sono giovanissimi alle prime armi, ma sono uomini maturi, abituati a trattare cifre importanti" (sentenza CAC pag. 234). Allo scopo di comprovare la provenienza "pulita" di parte dei fondi il ricorrente ha inoltre sottoposto falsa documentazione ad un istituto bancario. Già nell'ottobre del 2008 egli, in correità con terzi, ha prodotto della documentazione attestante, contrariamente a verità, fatti di importanza giuridica, nonché fatto uso a scopo di inganno di tale documento ed è stato di conseguenza condannato per ripetuta falsità in documenti. I fatti perpetrati dal ricorrente devono dunque essere considerati oggettivamente gravi - anche nell'ottica dell'ALC - tenuto conto in particolare del suo ruolo principale e delle somme estremamente elevate di denaro riciclato. Giova poi sottolineare che l'attività criminale dell'interessato in Svizzera ha preso fine solo grazie al tempestivo intervento degli inquirenti che ha permesso di bloccare gli averi provenienti dal conto malversato. Inoltre, l'attitudine collaborativa di A._______ non presenta un carattere eccezionale e non è tale da permettere di modificare l'apprezzamento della fattispecie. Per quanto attiene infine la decisione dell'autorità penale di sospendere condizionalmente parte della pena occorre rammentare che, in virtù del principio della separazione dei poteri e a norma di una consolidata prassi e giurisprudenza, l'autorità amministrativa non è vincolata dalle considerazioni del giudice penale. Il Tribunale federale ha in effetti sancito che il principio secondo il quale l'autorità amministrativa, basandosi su criteri di valutazione che le sono propri, è talvolta portata a dedurre dalle stesse circostanze altre conseguenze di quelle dedotte dal giudice penale, va rispettato così come stabilito dal legislatore federale (cfr. DTF 131 II 352 consid. 4.3.2 e giurisprudenza ivi citata). Nella misura in cui l'autorità competente in materia di polizia degli stranieri non persegue il medesimo scopo di quella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delle migliore prognosi di risocializzazione, dall'altro l'autorità amministrativa si prefigge di proteggere la sicurezza e l'ordine pubblico (DTF 129 II 215 consid. 3.2 e giurisprudenza ivi citata). Tenuto conto di ciò, sebbene A._______ fosse incensurato prima della commissione dei suoi atti criminosi, il lasso di tempo piuttosto breve trascorso dalla sua condanna non è tale da permettere al presente Tribunale di scostarsi dalla decisione dell'autorità di prime cure, che considera il ricorrente una minaccia per l'ordine pubblico svizzero.</w:t>
      </w:r>
    </w:p>
    <w:p>
      <w:r>
        <w:rPr>
          <w:b/>
        </w:rPr>
        <w:t>E. 8.3</w:t>
      </w:r>
    </w:p>
    <w:p>
      <w:r>
        <w:t>In conclusione, il Tribunale ritiene legittima l'emanazione del divieto d'entrata quale provvedimento per ragione di ordine e sicurezza pubblici ai sensi dell'art. 5 par. 1 Allegato I ALC. Inoltre non è contestato che l'interessato, alla luce delle condanne subite, possa essere l'oggetto di un divieto d'entrata previsto all'art. 67 LStr. Il diritto interno non gli è comunque più favorevole dell'Accordo (cfr. sentenza del Tribunale amministrativo federale C-4982/2010 consid. 6.4, del 18 maggio 2012).</w:t>
      </w:r>
    </w:p>
    <w:p>
      <w:r>
        <w:rPr>
          <w:b/>
        </w:rPr>
        <w:t>E. 9.1</w:t>
      </w:r>
    </w:p>
    <w:p>
      <w:r>
        <w:t>Essendo la decisione di divieto d'entrata confermata nel suo principio, resta ora da stabilire se la durata della misura di allontanamento adottata dall'UFM, prevista per un periodo di 7 anni, rispetta il principio della proporzionalità.</w:t>
      </w:r>
    </w:p>
    <w:p>
      <w:r>
        <w:rPr>
          <w:b/>
        </w:rPr>
        <w:t>E. 9.2</w:t>
      </w:r>
    </w:p>
    <w:p>
      <w:r>
        <w:t>A tale proposito occorre esaminare se la durata del provvedimento amministrativo è stata fissata nel rispetto dell'esercizio del potere d'apprezzamento, prestando particolare attenzione al principio della proporzionalità. Sotto questo aspetto è necessario procedere ad una corretta ponderazione degli interessi in causa: quello pubblico della Svizzera al mantenimento del divieto d'entrata sul proprio territorio per 7 anni e quello privato del ricorrente a potervi entrare. Rilevanti sono le particolarità del comportamento illecito, la situazione personale della persona interessata e la rilevanza del bene giuridico minacciato o violato (cfr. Ulrich Häfeli/Georg Müller/Felix Uhlmann, Allgemeines Verwaltungsrecht, 6a ed. integralmente rielaborata, Zurigo/San Gallo 2010, cifra 613 segg.). In particolare è necessario che il provvedimento appaia essenziale ed idoneo a raggiungere lo scopo perseguito dalla misura amministrativa e che sussista un rapporto ragionevole tra lo scopo perseguito e la restrizione alla libertà personale che ne consegue (DFT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9.3</w:t>
      </w:r>
    </w:p>
    <w:p>
      <w:r>
        <w:t>L'art. 67 cpv. 3 LStr permette alle autorità svizzere di pronunciare un divieto d'entrata per una durata maggiore ai 5 anni, se l'interessato costituisce un grave pericolo per l'ordine e la sicurezza pubblici. In una recente giurisprudenza, il Tribunale federale ha rilevato che la graduazione delle esigenze prevista nella suddetta disposizione a seconda che l'autorità intenda pronunciare un divieto per una durata inferiore o superiore a 5 anni non si fonda sull'ALC e nemmeno sulla giurisprudenza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Poiché la LStr non opera alcuna distinzione tra cittadini di Stati ALC e stati terzi (l'art. 67 cpv. 3 LStr riprende infatti il contenuto dell'art. 11 cpv. 2 direttiva 2008/115/CE) e poiché l'ALC è silente sulle misure di divieto d'entrata e a fortiori sulla possibile durata delle stesse, si deve intendere che il legislatore ha voluto regolare i provvedimenti di divieto d'entrata superiori a cinque anni allo stesso modo per le due categorie di cittadini di stati terzi (membri ALC o meno). Si tratta dunque di determinare quali siano le condizioni poste dall'autorità, a fondamento di un provvedimento di divieto d'entrata per una durata superiore a 5 anni; in altre parole definire i criteri sui quali l'autorità riconosce o meno l'esistenza del "grave pericolo per l'ordine e la sicurezza pubblici", giusta l'art. 67 cpv. 3 LStr. In proposito la recente giurisprudenza ha indicato che la nozione di "pericolo grave" richiede un grado di gravità maggiore al "semplice" pericolo o minaccia all'ordine e la sicurezza pubblici (cfr. art. 67 cpv. 2 let. a LStr), ma anche maggiore alla nozione di "pericolo di una certa gravità", necessaria per pronunciare un divieto d'entrata per un cittadino di uno stato ALC. Operando un raffronto con la nozione di "pericolo di una certa gravità" dell'art. 5 allegato 1 ALC (cfr. per una casistica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esaminata in concreto, sulla base degli atti di causa (cfr. Marc Spescha, Migrationsrecht-Kommentar, 3 ed., ad art. 67 LEtr, n. 5 pag. 196; Andrea Binder Oser, Bundesgesetz über die Ausländer/innen, ad art. 67 LEtr, n. 24 pag. 689 ). Essa può infatti fondarsi sulla natura del bene giuridico in pericolo (ad esempio: minaccia grave alla vita, l'integrità della persona, l'integrità sessuale o la salute pubblica), sulla natura dell'infrazione commessa, segnatamente compresa in una criminalità particolarmente grave con dimensione transfrontaliera (cfr.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sentenza del Tribunale federale 2C_318/2012 del 22 febbraio 2013 consid. 6).</w:t>
      </w:r>
    </w:p>
    <w:p>
      <w:r>
        <w:rPr>
          <w:b/>
        </w:rPr>
        <w:t>E. 9.4</w:t>
      </w:r>
    </w:p>
    <w:p>
      <w:r>
        <w:t>Il divieto d'entrata pronunciato nei confronti di A._______ è superiore ai 5 anni: occorre dunque esaminare in concreto, se egli costituisce un "grave pericolo per l'ordine e la sicurezza pubblici" ai sensi dell'art. 67 cpv. 3 ultima frase LStr (cfr. supra 9.3 e giurisprudenza ivi citata). Dagli atti di causa si evince che i reati commessi dal ricorrente non riguardano beni giuridici estremamente sensibili, non sono compresi in una criminalità particolarmente grave con dimensione transfrontaliera e che l'interessato non abbia recidivato il proprio comportamento delittuoso. Tenuto conto dell'età dell'interessato, della sua incensuratezza, dell'assunzione di responsabilità, nonché dell'effetto deterrente della lunga e dura carcerazione preventiva subita, le autorità penali hanno inoltre formulato una prognosi favorevole nei suoi confronti (cfr. sentenza CAC pag. 235). Alla luce di quanto esposto, il pericolo rappresentato da A._______ non può essere designato quale grave minaccia, vale a dire un pericolo particolarmente serio proprio a giustificare che il diritto dell'interessato a circolare liberamente sul territorio svizzero sia soppresso per una durata superiore ai 5 anni.</w:t>
      </w:r>
    </w:p>
    <w:p>
      <w:r>
        <w:rPr>
          <w:b/>
        </w:rPr>
        <w:t>E. 10</w:t>
      </w:r>
    </w:p>
    <w:p>
      <w:r>
        <w:t>In conclusione, tenuto conto dell'insieme degli elementi soggettivi ed oggettivi della causa, la ponderazione degli interessi in presenza conduce il Tribunale a ritenere che, sebbene l'interesse pubblico all'allontanamento di A._______ dalla Svizzera prevalga su quello privato di quest'ultimo a potervisi recare senza particolari controlli, la durata del divieto d'entrata deve essere ridotta e gli effetti di tale misura limitati a 5 anni a decorrere dalla pronuncia della stessa, ovvero fino al 4 novembre 2017. Di conseguenza il ricorso è parzialmente accolto e la durata del divieto d'entrata è ridotta a 5 anni.</w:t>
      </w:r>
    </w:p>
    <w:p>
      <w:r>
        <w:rPr>
          <w:b/>
        </w:rPr>
        <w:t>E. 11</w:t>
      </w:r>
    </w:p>
    <w:p>
      <w:r>
        <w:t>Visto l'esito della procedura, vengono poste a carico del ricorrente spese processuali ridotte dell'ammontare di fr. 500.- (art. 63 cpv. 1 PA). Giusta l'art. 64 cpv. 1 PA in relazione con l'art. 7 cpv. 2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mancanza di una nota particolareggiata delle spese di rappresentanza, l'indennità è fissata sulla base degli atti. In concreto si constata che l'interessato è patrocinato da un legale. In ragione dell'insieme delle circostanze della fattispecie, alla luce dell'importanza del caso e del grado di difficoltà, come pure al lavoro svolto dal patrocinatore, il Tribunale ritiene, ai sensi degli art. 8 segg. TS-TAF, che il versamento al ricorrente di un'indennità di fr. 1'000.-, importo comprensivo di spese ma non di IVA, appaia equa. In effetti, per prestazioni di avvocati fornite a persone domiciliate all'estero non è dovuta l'IVA (cfr. art. 1 cpv. 2 in correlazione con gli art. 8 cpv. 1 e 18 cpv. 1 della legge federale concernente l'imposta sul valore aggiunto [LIVA, RS 641.20]), la stessa non può pertanto essere indennizzata (cfr. sulla questione, e fra le tante, le sentenze del Tribunale amministrativo federale C-3457/2011 del 10 maggio 2012 consid. 11.1 e C-1677/2011 del 13 gennaio 2012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